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1618" w:rsidRPr="00B51F6C" w:rsidRDefault="00CD1618" w:rsidP="000F2823">
      <w:pPr>
        <w:spacing w:after="0" w:line="240" w:lineRule="auto"/>
      </w:pPr>
    </w:p>
    <w:tbl>
      <w:tblPr>
        <w:tblW w:w="15871" w:type="dxa"/>
        <w:tblCellMar>
          <w:left w:w="70" w:type="dxa"/>
          <w:right w:w="70" w:type="dxa"/>
        </w:tblCellMar>
        <w:tblLook w:val="04A0" w:firstRow="1" w:lastRow="0" w:firstColumn="1" w:lastColumn="0" w:noHBand="0" w:noVBand="1"/>
      </w:tblPr>
      <w:tblGrid>
        <w:gridCol w:w="500"/>
        <w:gridCol w:w="2047"/>
        <w:gridCol w:w="2551"/>
        <w:gridCol w:w="3969"/>
        <w:gridCol w:w="1985"/>
        <w:gridCol w:w="4819"/>
      </w:tblGrid>
      <w:tr w:rsidR="00EA4794" w:rsidRPr="00816D5C" w:rsidTr="00FD7115">
        <w:trPr>
          <w:trHeight w:val="460"/>
        </w:trPr>
        <w:tc>
          <w:tcPr>
            <w:tcW w:w="15871" w:type="dxa"/>
            <w:gridSpan w:val="6"/>
            <w:tcBorders>
              <w:top w:val="single" w:sz="4" w:space="0" w:color="auto"/>
              <w:left w:val="single" w:sz="4" w:space="0" w:color="auto"/>
              <w:bottom w:val="nil"/>
              <w:right w:val="single" w:sz="4" w:space="0" w:color="auto"/>
            </w:tcBorders>
            <w:shd w:val="clear" w:color="auto" w:fill="FFF2CC" w:themeFill="accent4" w:themeFillTint="33"/>
            <w:vAlign w:val="center"/>
          </w:tcPr>
          <w:p w:rsidR="00EA4794" w:rsidRPr="00816D5C" w:rsidRDefault="00EA4794" w:rsidP="000F2823">
            <w:pPr>
              <w:spacing w:after="0" w:line="240" w:lineRule="auto"/>
              <w:rPr>
                <w:rFonts w:eastAsia="Times New Roman" w:cs="Times New Roman"/>
                <w:b/>
                <w:bCs/>
                <w:color w:val="000000"/>
                <w:sz w:val="24"/>
                <w:szCs w:val="24"/>
                <w:lang w:eastAsia="pl-PL"/>
              </w:rPr>
            </w:pPr>
            <w:r w:rsidRPr="00816D5C">
              <w:rPr>
                <w:rFonts w:eastAsia="Times New Roman" w:cs="Times New Roman"/>
                <w:b/>
                <w:bCs/>
                <w:color w:val="000000"/>
                <w:sz w:val="24"/>
                <w:szCs w:val="24"/>
                <w:lang w:eastAsia="pl-PL"/>
              </w:rPr>
              <w:t xml:space="preserve">Projekty </w:t>
            </w:r>
            <w:proofErr w:type="spellStart"/>
            <w:r w:rsidRPr="00816D5C">
              <w:rPr>
                <w:rFonts w:eastAsia="Times New Roman" w:cs="Times New Roman"/>
                <w:b/>
                <w:bCs/>
                <w:color w:val="000000"/>
                <w:sz w:val="24"/>
                <w:szCs w:val="24"/>
                <w:lang w:eastAsia="pl-PL"/>
              </w:rPr>
              <w:t>ogólnomiejskie</w:t>
            </w:r>
            <w:proofErr w:type="spellEnd"/>
            <w:r w:rsidRPr="00816D5C">
              <w:rPr>
                <w:rFonts w:eastAsia="Times New Roman" w:cs="Times New Roman"/>
                <w:b/>
                <w:bCs/>
                <w:color w:val="000000"/>
                <w:sz w:val="24"/>
                <w:szCs w:val="24"/>
                <w:lang w:eastAsia="pl-PL"/>
              </w:rPr>
              <w:t xml:space="preserve"> niezakwalifikowane do głosowania</w:t>
            </w:r>
          </w:p>
        </w:tc>
      </w:tr>
      <w:tr w:rsidR="00EA4794" w:rsidRPr="00816D5C" w:rsidTr="00663123">
        <w:trPr>
          <w:trHeight w:val="460"/>
        </w:trPr>
        <w:tc>
          <w:tcPr>
            <w:tcW w:w="500" w:type="dxa"/>
            <w:tcBorders>
              <w:top w:val="single" w:sz="4" w:space="0" w:color="auto"/>
              <w:left w:val="single" w:sz="4" w:space="0" w:color="auto"/>
              <w:bottom w:val="nil"/>
              <w:right w:val="single" w:sz="4" w:space="0" w:color="auto"/>
            </w:tcBorders>
            <w:shd w:val="clear" w:color="auto" w:fill="FFF2CC" w:themeFill="accent4" w:themeFillTint="33"/>
            <w:vAlign w:val="center"/>
            <w:hideMark/>
          </w:tcPr>
          <w:p w:rsidR="00EA4794" w:rsidRPr="00816D5C" w:rsidRDefault="00EA4794" w:rsidP="000F2823">
            <w:pPr>
              <w:spacing w:after="0" w:line="240" w:lineRule="auto"/>
              <w:rPr>
                <w:rFonts w:eastAsia="Times New Roman" w:cs="Times New Roman"/>
                <w:b/>
                <w:bCs/>
                <w:color w:val="000000"/>
                <w:sz w:val="24"/>
                <w:szCs w:val="24"/>
                <w:lang w:eastAsia="pl-PL"/>
              </w:rPr>
            </w:pPr>
            <w:r w:rsidRPr="00816D5C">
              <w:rPr>
                <w:rFonts w:eastAsia="Times New Roman" w:cs="Times New Roman"/>
                <w:b/>
                <w:bCs/>
                <w:color w:val="000000"/>
                <w:sz w:val="24"/>
                <w:szCs w:val="24"/>
                <w:lang w:eastAsia="pl-PL"/>
              </w:rPr>
              <w:t>Lp.</w:t>
            </w:r>
          </w:p>
        </w:tc>
        <w:tc>
          <w:tcPr>
            <w:tcW w:w="2047" w:type="dxa"/>
            <w:tcBorders>
              <w:top w:val="single" w:sz="4" w:space="0" w:color="auto"/>
              <w:left w:val="single" w:sz="4" w:space="0" w:color="auto"/>
              <w:bottom w:val="nil"/>
              <w:right w:val="single" w:sz="4" w:space="0" w:color="auto"/>
            </w:tcBorders>
            <w:shd w:val="clear" w:color="auto" w:fill="FFF2CC" w:themeFill="accent4" w:themeFillTint="33"/>
            <w:vAlign w:val="center"/>
            <w:hideMark/>
          </w:tcPr>
          <w:p w:rsidR="00EA4794" w:rsidRPr="00816D5C" w:rsidRDefault="00EA4794" w:rsidP="000F2823">
            <w:pPr>
              <w:spacing w:after="0" w:line="240" w:lineRule="auto"/>
              <w:rPr>
                <w:rFonts w:eastAsia="Times New Roman" w:cs="Times New Roman"/>
                <w:b/>
                <w:bCs/>
                <w:color w:val="000000"/>
                <w:sz w:val="24"/>
                <w:szCs w:val="24"/>
                <w:lang w:eastAsia="pl-PL"/>
              </w:rPr>
            </w:pPr>
            <w:r w:rsidRPr="00816D5C">
              <w:rPr>
                <w:rFonts w:eastAsia="Times New Roman" w:cs="Times New Roman"/>
                <w:b/>
                <w:bCs/>
                <w:color w:val="000000"/>
                <w:sz w:val="24"/>
                <w:szCs w:val="24"/>
                <w:lang w:eastAsia="pl-PL"/>
              </w:rPr>
              <w:t>Tytuł projektu</w:t>
            </w:r>
          </w:p>
        </w:tc>
        <w:tc>
          <w:tcPr>
            <w:tcW w:w="2551" w:type="dxa"/>
            <w:tcBorders>
              <w:top w:val="single" w:sz="4" w:space="0" w:color="auto"/>
              <w:left w:val="single" w:sz="4" w:space="0" w:color="auto"/>
              <w:bottom w:val="nil"/>
              <w:right w:val="single" w:sz="4" w:space="0" w:color="auto"/>
            </w:tcBorders>
            <w:shd w:val="clear" w:color="auto" w:fill="FFF2CC" w:themeFill="accent4" w:themeFillTint="33"/>
            <w:vAlign w:val="center"/>
            <w:hideMark/>
          </w:tcPr>
          <w:p w:rsidR="00EA4794" w:rsidRPr="00816D5C" w:rsidRDefault="00531479" w:rsidP="000F2823">
            <w:pPr>
              <w:spacing w:after="0" w:line="240" w:lineRule="auto"/>
              <w:rPr>
                <w:rFonts w:eastAsia="Times New Roman" w:cs="Times New Roman"/>
                <w:b/>
                <w:bCs/>
                <w:color w:val="000000"/>
                <w:sz w:val="24"/>
                <w:szCs w:val="24"/>
                <w:lang w:eastAsia="pl-PL"/>
              </w:rPr>
            </w:pPr>
            <w:r w:rsidRPr="00816D5C">
              <w:rPr>
                <w:rFonts w:eastAsia="Times New Roman" w:cs="Times New Roman"/>
                <w:b/>
                <w:bCs/>
                <w:color w:val="000000"/>
                <w:sz w:val="24"/>
                <w:szCs w:val="24"/>
                <w:lang w:eastAsia="pl-PL"/>
              </w:rPr>
              <w:t>Lokalizacja</w:t>
            </w:r>
          </w:p>
        </w:tc>
        <w:tc>
          <w:tcPr>
            <w:tcW w:w="3969" w:type="dxa"/>
            <w:tcBorders>
              <w:top w:val="single" w:sz="4" w:space="0" w:color="auto"/>
              <w:left w:val="single" w:sz="4" w:space="0" w:color="auto"/>
              <w:bottom w:val="nil"/>
              <w:right w:val="single" w:sz="4" w:space="0" w:color="auto"/>
            </w:tcBorders>
            <w:shd w:val="clear" w:color="auto" w:fill="FFF2CC" w:themeFill="accent4" w:themeFillTint="33"/>
            <w:vAlign w:val="center"/>
            <w:hideMark/>
          </w:tcPr>
          <w:p w:rsidR="00EA4794" w:rsidRPr="00816D5C" w:rsidRDefault="00EA4794" w:rsidP="000F2823">
            <w:pPr>
              <w:spacing w:after="0" w:line="240" w:lineRule="auto"/>
              <w:rPr>
                <w:rFonts w:eastAsia="Times New Roman" w:cs="Times New Roman"/>
                <w:b/>
                <w:bCs/>
                <w:color w:val="000000"/>
                <w:sz w:val="24"/>
                <w:szCs w:val="24"/>
                <w:lang w:eastAsia="pl-PL"/>
              </w:rPr>
            </w:pPr>
            <w:r w:rsidRPr="00816D5C">
              <w:rPr>
                <w:rFonts w:eastAsia="Times New Roman" w:cs="Times New Roman"/>
                <w:b/>
                <w:bCs/>
                <w:color w:val="000000"/>
                <w:sz w:val="24"/>
                <w:szCs w:val="24"/>
                <w:lang w:eastAsia="pl-PL"/>
              </w:rPr>
              <w:t>Opis</w:t>
            </w:r>
          </w:p>
        </w:tc>
        <w:tc>
          <w:tcPr>
            <w:tcW w:w="1985" w:type="dxa"/>
            <w:tcBorders>
              <w:top w:val="single" w:sz="4" w:space="0" w:color="auto"/>
              <w:left w:val="single" w:sz="4" w:space="0" w:color="auto"/>
              <w:bottom w:val="nil"/>
              <w:right w:val="single" w:sz="4" w:space="0" w:color="auto"/>
            </w:tcBorders>
            <w:shd w:val="clear" w:color="auto" w:fill="FFF2CC" w:themeFill="accent4" w:themeFillTint="33"/>
            <w:vAlign w:val="center"/>
            <w:hideMark/>
          </w:tcPr>
          <w:p w:rsidR="00EA4794" w:rsidRPr="00816D5C" w:rsidRDefault="00EA4794" w:rsidP="000F2823">
            <w:pPr>
              <w:spacing w:after="0" w:line="240" w:lineRule="auto"/>
              <w:rPr>
                <w:rFonts w:eastAsia="Times New Roman" w:cs="Times New Roman"/>
                <w:b/>
                <w:bCs/>
                <w:color w:val="000000"/>
                <w:sz w:val="24"/>
                <w:szCs w:val="24"/>
                <w:lang w:eastAsia="pl-PL"/>
              </w:rPr>
            </w:pPr>
            <w:r w:rsidRPr="00816D5C">
              <w:rPr>
                <w:rFonts w:eastAsia="Times New Roman" w:cs="Times New Roman"/>
                <w:b/>
                <w:bCs/>
                <w:color w:val="000000"/>
                <w:sz w:val="24"/>
                <w:szCs w:val="24"/>
                <w:lang w:eastAsia="pl-PL"/>
              </w:rPr>
              <w:t xml:space="preserve"> Szacunkowy koszt (zł) </w:t>
            </w:r>
          </w:p>
        </w:tc>
        <w:tc>
          <w:tcPr>
            <w:tcW w:w="481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rsidR="00EA4794" w:rsidRPr="00816D5C" w:rsidRDefault="00EA4794" w:rsidP="000F2823">
            <w:pPr>
              <w:spacing w:after="0" w:line="240" w:lineRule="auto"/>
              <w:rPr>
                <w:rFonts w:eastAsia="Times New Roman" w:cs="Times New Roman"/>
                <w:b/>
                <w:bCs/>
                <w:color w:val="000000"/>
                <w:sz w:val="24"/>
                <w:szCs w:val="24"/>
                <w:lang w:eastAsia="pl-PL"/>
              </w:rPr>
            </w:pPr>
            <w:r w:rsidRPr="00816D5C">
              <w:rPr>
                <w:rFonts w:eastAsia="Times New Roman" w:cs="Times New Roman"/>
                <w:b/>
                <w:bCs/>
                <w:color w:val="000000"/>
                <w:sz w:val="24"/>
                <w:szCs w:val="24"/>
                <w:lang w:eastAsia="pl-PL"/>
              </w:rPr>
              <w:t>Uzasadnienie negatywnej oceny</w:t>
            </w:r>
          </w:p>
        </w:tc>
      </w:tr>
      <w:tr w:rsidR="00EA4794" w:rsidRPr="00816D5C" w:rsidTr="00663123">
        <w:trPr>
          <w:trHeight w:val="4003"/>
        </w:trPr>
        <w:tc>
          <w:tcPr>
            <w:tcW w:w="500" w:type="dxa"/>
            <w:tcBorders>
              <w:top w:val="single" w:sz="4" w:space="0" w:color="auto"/>
              <w:left w:val="single" w:sz="4" w:space="0" w:color="auto"/>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1.</w:t>
            </w:r>
          </w:p>
        </w:tc>
        <w:tc>
          <w:tcPr>
            <w:tcW w:w="2047" w:type="dxa"/>
            <w:tcBorders>
              <w:top w:val="single" w:sz="4" w:space="0" w:color="auto"/>
              <w:left w:val="nil"/>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Czas na światło! Montaż sekundników przy sygnalizatorach świetlnych</w:t>
            </w:r>
          </w:p>
        </w:tc>
        <w:tc>
          <w:tcPr>
            <w:tcW w:w="2551" w:type="dxa"/>
            <w:tcBorders>
              <w:top w:val="single" w:sz="4" w:space="0" w:color="auto"/>
              <w:left w:val="nil"/>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na istniejących sygnalizatorach świetlnych w m</w:t>
            </w:r>
            <w:bookmarkStart w:id="0" w:name="_GoBack"/>
            <w:bookmarkEnd w:id="0"/>
            <w:r w:rsidRPr="00816D5C">
              <w:rPr>
                <w:rFonts w:eastAsia="Times New Roman" w:cs="Times New Roman"/>
                <w:color w:val="000000"/>
                <w:sz w:val="24"/>
                <w:szCs w:val="24"/>
                <w:lang w:eastAsia="pl-PL"/>
              </w:rPr>
              <w:t>ieście</w:t>
            </w:r>
          </w:p>
        </w:tc>
        <w:tc>
          <w:tcPr>
            <w:tcW w:w="3969" w:type="dxa"/>
            <w:tcBorders>
              <w:top w:val="single" w:sz="4" w:space="0" w:color="auto"/>
              <w:left w:val="nil"/>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Projekt dotyczy zainstalowania sekundników przy istniejących sygnalizatorach świetlnych dla pojazdów w celu poprawy płynności ruchu drogowego, poprzez zwiększenie świadomości kierowców o zbliżających się zmianach świateł.</w:t>
            </w:r>
          </w:p>
        </w:tc>
        <w:tc>
          <w:tcPr>
            <w:tcW w:w="1985" w:type="dxa"/>
            <w:tcBorders>
              <w:top w:val="single" w:sz="4" w:space="0" w:color="auto"/>
              <w:left w:val="single" w:sz="4" w:space="0" w:color="auto"/>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 xml:space="preserve">             450 000,00 </w:t>
            </w:r>
          </w:p>
        </w:tc>
        <w:tc>
          <w:tcPr>
            <w:tcW w:w="4819" w:type="dxa"/>
            <w:tcBorders>
              <w:top w:val="nil"/>
              <w:left w:val="nil"/>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 xml:space="preserve">Projekt nie spełnia wymogu § 10 ust. 1 pkt 2 uchwały*. Zgodnie z Rozporządzeniem Ministra Infrastruktury w sprawie szczegółowych warunków technicznych dla znaków i sygnałów drogowych oraz urządzeń bezpieczeństwa ruchu drogowego i warunków ich umieszczania na drogach, wyświetlacz czasu może być stosowany z sygnalizacją świetlną </w:t>
            </w:r>
            <w:proofErr w:type="spellStart"/>
            <w:r w:rsidRPr="00816D5C">
              <w:rPr>
                <w:rFonts w:eastAsia="Times New Roman" w:cs="Times New Roman"/>
                <w:color w:val="000000"/>
                <w:sz w:val="24"/>
                <w:szCs w:val="24"/>
                <w:lang w:eastAsia="pl-PL"/>
              </w:rPr>
              <w:t>stałoczasową</w:t>
            </w:r>
            <w:proofErr w:type="spellEnd"/>
            <w:r w:rsidRPr="00816D5C">
              <w:rPr>
                <w:rFonts w:eastAsia="Times New Roman" w:cs="Times New Roman"/>
                <w:color w:val="000000"/>
                <w:sz w:val="24"/>
                <w:szCs w:val="24"/>
                <w:lang w:eastAsia="pl-PL"/>
              </w:rPr>
              <w:t xml:space="preserve">. Skrzyżowania na obszarze miasta Białystok funkcjonują z sygnalizacją </w:t>
            </w:r>
            <w:proofErr w:type="spellStart"/>
            <w:r w:rsidRPr="00816D5C">
              <w:rPr>
                <w:rFonts w:eastAsia="Times New Roman" w:cs="Times New Roman"/>
                <w:color w:val="000000"/>
                <w:sz w:val="24"/>
                <w:szCs w:val="24"/>
                <w:lang w:eastAsia="pl-PL"/>
              </w:rPr>
              <w:t>zmiennoczasową</w:t>
            </w:r>
            <w:proofErr w:type="spellEnd"/>
            <w:r w:rsidRPr="00816D5C">
              <w:rPr>
                <w:rFonts w:eastAsia="Times New Roman" w:cs="Times New Roman"/>
                <w:color w:val="000000"/>
                <w:sz w:val="24"/>
                <w:szCs w:val="24"/>
                <w:lang w:eastAsia="pl-PL"/>
              </w:rPr>
              <w:t xml:space="preserve">, dostosowującą długość sygnałów zielonych do aktualnego natężenia ruchu pojazdów oraz zgłoszeń pieszych. Sygnalizacja </w:t>
            </w:r>
            <w:proofErr w:type="spellStart"/>
            <w:r w:rsidRPr="00816D5C">
              <w:rPr>
                <w:rFonts w:eastAsia="Times New Roman" w:cs="Times New Roman"/>
                <w:color w:val="000000"/>
                <w:sz w:val="24"/>
                <w:szCs w:val="24"/>
                <w:lang w:eastAsia="pl-PL"/>
              </w:rPr>
              <w:t>stałoczasowa</w:t>
            </w:r>
            <w:proofErr w:type="spellEnd"/>
            <w:r w:rsidRPr="00816D5C">
              <w:rPr>
                <w:rFonts w:eastAsia="Times New Roman" w:cs="Times New Roman"/>
                <w:color w:val="000000"/>
                <w:sz w:val="24"/>
                <w:szCs w:val="24"/>
                <w:lang w:eastAsia="pl-PL"/>
              </w:rPr>
              <w:t xml:space="preserve"> stanowi rozwiązanie starszego typu, generujące większe straty czasu dla użytkowników. </w:t>
            </w:r>
          </w:p>
        </w:tc>
      </w:tr>
      <w:tr w:rsidR="00EA4794" w:rsidRPr="00816D5C" w:rsidTr="00663123">
        <w:trPr>
          <w:trHeight w:val="3402"/>
        </w:trPr>
        <w:tc>
          <w:tcPr>
            <w:tcW w:w="500" w:type="dxa"/>
            <w:tcBorders>
              <w:top w:val="nil"/>
              <w:left w:val="single" w:sz="4" w:space="0" w:color="auto"/>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2.</w:t>
            </w:r>
          </w:p>
        </w:tc>
        <w:tc>
          <w:tcPr>
            <w:tcW w:w="2047" w:type="dxa"/>
            <w:tcBorders>
              <w:top w:val="nil"/>
              <w:left w:val="nil"/>
              <w:bottom w:val="single" w:sz="4" w:space="0" w:color="auto"/>
              <w:right w:val="single" w:sz="4" w:space="0" w:color="auto"/>
            </w:tcBorders>
            <w:shd w:val="clear" w:color="000000" w:fill="FFFFFF"/>
            <w:hideMark/>
          </w:tcPr>
          <w:p w:rsidR="00EA4794" w:rsidRPr="00816D5C" w:rsidRDefault="00F75C43"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Budowa drogi i parkingu za „Bocianim Gniazdem”</w:t>
            </w:r>
          </w:p>
        </w:tc>
        <w:tc>
          <w:tcPr>
            <w:tcW w:w="2551" w:type="dxa"/>
            <w:tcBorders>
              <w:top w:val="nil"/>
              <w:left w:val="nil"/>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ul. Zwycięstwa na odcinku od W</w:t>
            </w:r>
            <w:r w:rsidR="00F75C43" w:rsidRPr="00816D5C">
              <w:rPr>
                <w:rFonts w:eastAsia="Times New Roman" w:cs="Times New Roman"/>
                <w:color w:val="000000"/>
                <w:sz w:val="24"/>
                <w:szCs w:val="24"/>
                <w:lang w:eastAsia="pl-PL"/>
              </w:rPr>
              <w:t>yższej Szkoły Ekonomicznej</w:t>
            </w:r>
            <w:r w:rsidRPr="00816D5C">
              <w:rPr>
                <w:rFonts w:eastAsia="Times New Roman" w:cs="Times New Roman"/>
                <w:color w:val="000000"/>
                <w:sz w:val="24"/>
                <w:szCs w:val="24"/>
                <w:lang w:eastAsia="pl-PL"/>
              </w:rPr>
              <w:t xml:space="preserve"> do ul. J. Klimkiewiczowej</w:t>
            </w:r>
          </w:p>
        </w:tc>
        <w:tc>
          <w:tcPr>
            <w:tcW w:w="3969" w:type="dxa"/>
            <w:tcBorders>
              <w:top w:val="nil"/>
              <w:left w:val="nil"/>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Projekt dotyczy budowy nawierzchni ulicy o dł. ok. 170 m.b., w tym miejsc parkingowych, ułożenia chodnika, przebudowy oświetlenia, przebudowy kolidującego uzbrojenia technicznego, kanalizacji deszczowej oraz rozbiórkę garaży i wycinkę drzew w miejscu budowy parkingu.</w:t>
            </w:r>
          </w:p>
        </w:tc>
        <w:tc>
          <w:tcPr>
            <w:tcW w:w="1985" w:type="dxa"/>
            <w:tcBorders>
              <w:top w:val="single" w:sz="4" w:space="0" w:color="auto"/>
              <w:left w:val="single" w:sz="4" w:space="0" w:color="auto"/>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 xml:space="preserve">          2 696 400,00 </w:t>
            </w:r>
          </w:p>
        </w:tc>
        <w:tc>
          <w:tcPr>
            <w:tcW w:w="4819" w:type="dxa"/>
            <w:tcBorders>
              <w:top w:val="nil"/>
              <w:left w:val="nil"/>
              <w:bottom w:val="single" w:sz="4" w:space="0" w:color="auto"/>
              <w:right w:val="single" w:sz="4" w:space="0" w:color="auto"/>
            </w:tcBorders>
            <w:shd w:val="clear" w:color="000000" w:fill="FFFFFF"/>
            <w:hideMark/>
          </w:tcPr>
          <w:p w:rsidR="00EA4794" w:rsidRPr="00816D5C" w:rsidRDefault="00BD0303"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 xml:space="preserve">Projekt nie spełnia wymogów § 5 ust. 2 oraz  § 10 ust. 1 pkt 2 uchwały*. Uchwała miejscowego planu zagospodarowania przestrzennego zakłada budowę ul. 6KD-L jako drogę publiczną, ulicę lokalną o przekroju 1x2 pasy ruchu. W liniach rozgraniczających pas drogowy przewidziane zostały tereny pod realizację zieleni urządzonej, które w minimum 80% powinny być zagospodarowane jako zieleń urządzona. Pas drogowy drogi 6KD-L w granicach linii rozgraniczających obejmuje działki miejskie nr 481/7, 484/2, 482/9, 481/8, 481/2, 481/1 </w:t>
            </w:r>
            <w:proofErr w:type="spellStart"/>
            <w:r w:rsidRPr="00816D5C">
              <w:rPr>
                <w:rFonts w:eastAsia="Times New Roman" w:cs="Times New Roman"/>
                <w:color w:val="000000"/>
                <w:sz w:val="24"/>
                <w:szCs w:val="24"/>
                <w:lang w:eastAsia="pl-PL"/>
              </w:rPr>
              <w:t>obr</w:t>
            </w:r>
            <w:proofErr w:type="spellEnd"/>
            <w:r w:rsidRPr="00816D5C">
              <w:rPr>
                <w:rFonts w:eastAsia="Times New Roman" w:cs="Times New Roman"/>
                <w:color w:val="000000"/>
                <w:sz w:val="24"/>
                <w:szCs w:val="24"/>
                <w:lang w:eastAsia="pl-PL"/>
              </w:rPr>
              <w:t xml:space="preserve">. 3, a także działki które nie </w:t>
            </w:r>
            <w:r w:rsidRPr="00816D5C">
              <w:rPr>
                <w:rFonts w:eastAsia="Times New Roman" w:cs="Times New Roman"/>
                <w:color w:val="000000"/>
                <w:sz w:val="24"/>
                <w:szCs w:val="24"/>
                <w:lang w:eastAsia="pl-PL"/>
              </w:rPr>
              <w:lastRenderedPageBreak/>
              <w:t xml:space="preserve">stanowią własności m. Białystok (wymagające podziału i wykupu): 480/8, 459/8, 459/2, 484/1, 482/2, 482/6, 482/5, 494 </w:t>
            </w:r>
            <w:proofErr w:type="spellStart"/>
            <w:r w:rsidRPr="00816D5C">
              <w:rPr>
                <w:rFonts w:eastAsia="Times New Roman" w:cs="Times New Roman"/>
                <w:color w:val="000000"/>
                <w:sz w:val="24"/>
                <w:szCs w:val="24"/>
                <w:lang w:eastAsia="pl-PL"/>
              </w:rPr>
              <w:t>obr</w:t>
            </w:r>
            <w:proofErr w:type="spellEnd"/>
            <w:r w:rsidRPr="00816D5C">
              <w:rPr>
                <w:rFonts w:eastAsia="Times New Roman" w:cs="Times New Roman"/>
                <w:color w:val="000000"/>
                <w:sz w:val="24"/>
                <w:szCs w:val="24"/>
                <w:lang w:eastAsia="pl-PL"/>
              </w:rPr>
              <w:t>. 3.</w:t>
            </w:r>
          </w:p>
        </w:tc>
      </w:tr>
      <w:tr w:rsidR="00EA4794" w:rsidRPr="00816D5C" w:rsidTr="00663123">
        <w:trPr>
          <w:trHeight w:val="6804"/>
        </w:trPr>
        <w:tc>
          <w:tcPr>
            <w:tcW w:w="500" w:type="dxa"/>
            <w:tcBorders>
              <w:top w:val="nil"/>
              <w:left w:val="single" w:sz="4" w:space="0" w:color="auto"/>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lastRenderedPageBreak/>
              <w:t>3.</w:t>
            </w:r>
          </w:p>
        </w:tc>
        <w:tc>
          <w:tcPr>
            <w:tcW w:w="2047" w:type="dxa"/>
            <w:tcBorders>
              <w:top w:val="nil"/>
              <w:left w:val="nil"/>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Projekt FISZ-BINA</w:t>
            </w:r>
          </w:p>
        </w:tc>
        <w:tc>
          <w:tcPr>
            <w:tcW w:w="2551" w:type="dxa"/>
            <w:tcBorders>
              <w:top w:val="nil"/>
              <w:left w:val="nil"/>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ul. Aleja J. Piłsudskiego w okolicy ul. Włókienniczej</w:t>
            </w:r>
          </w:p>
        </w:tc>
        <w:tc>
          <w:tcPr>
            <w:tcW w:w="3969" w:type="dxa"/>
            <w:tcBorders>
              <w:top w:val="nil"/>
              <w:left w:val="nil"/>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Projekt zakłada stworzenie rzeźby lub instalacji artystycznej lub płaskorzeźby łączącej w kreatywny i humorystyczny sposób elementy, z których słynie Białystok - śledzik białostocki oraz sektor bieliźniarski.</w:t>
            </w:r>
          </w:p>
        </w:tc>
        <w:tc>
          <w:tcPr>
            <w:tcW w:w="1985" w:type="dxa"/>
            <w:tcBorders>
              <w:top w:val="single" w:sz="4" w:space="0" w:color="auto"/>
              <w:left w:val="single" w:sz="4" w:space="0" w:color="auto"/>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 xml:space="preserve">             160 000,00 </w:t>
            </w:r>
          </w:p>
        </w:tc>
        <w:tc>
          <w:tcPr>
            <w:tcW w:w="4819" w:type="dxa"/>
            <w:tcBorders>
              <w:top w:val="nil"/>
              <w:left w:val="nil"/>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Projekt nie spełnia wymogu § 6 pkt 6 uchwały*. Projekt jest konkurencyjny w stos</w:t>
            </w:r>
            <w:r w:rsidR="00F75C43" w:rsidRPr="00816D5C">
              <w:rPr>
                <w:rFonts w:eastAsia="Times New Roman" w:cs="Times New Roman"/>
                <w:color w:val="000000"/>
                <w:sz w:val="24"/>
                <w:szCs w:val="24"/>
                <w:lang w:eastAsia="pl-PL"/>
              </w:rPr>
              <w:t xml:space="preserve">unku do realizowanego projektu „Białystok </w:t>
            </w:r>
            <w:proofErr w:type="spellStart"/>
            <w:r w:rsidR="00F75C43" w:rsidRPr="00816D5C">
              <w:rPr>
                <w:rFonts w:eastAsia="Times New Roman" w:cs="Times New Roman"/>
                <w:color w:val="000000"/>
                <w:sz w:val="24"/>
                <w:szCs w:val="24"/>
                <w:lang w:eastAsia="pl-PL"/>
              </w:rPr>
              <w:t>WidziMisie</w:t>
            </w:r>
            <w:proofErr w:type="spellEnd"/>
            <w:r w:rsidR="00F75C43" w:rsidRPr="00816D5C">
              <w:rPr>
                <w:rFonts w:eastAsia="Times New Roman" w:cs="Times New Roman"/>
                <w:color w:val="000000"/>
                <w:sz w:val="24"/>
                <w:szCs w:val="24"/>
                <w:lang w:eastAsia="pl-PL"/>
              </w:rPr>
              <w:t>”</w:t>
            </w:r>
            <w:r w:rsidRPr="00816D5C">
              <w:rPr>
                <w:rFonts w:eastAsia="Times New Roman" w:cs="Times New Roman"/>
                <w:color w:val="000000"/>
                <w:sz w:val="24"/>
                <w:szCs w:val="24"/>
                <w:lang w:eastAsia="pl-PL"/>
              </w:rPr>
              <w:t xml:space="preserve"> jako zamierzenia artystycznego mającego na celu promocję miasta oraz zaprezentowanie zdystansowanego podejścia mieszkańców do stereotypów poznawczych dotyc</w:t>
            </w:r>
            <w:r w:rsidR="00F75C43" w:rsidRPr="00816D5C">
              <w:rPr>
                <w:rFonts w:eastAsia="Times New Roman" w:cs="Times New Roman"/>
                <w:color w:val="000000"/>
                <w:sz w:val="24"/>
                <w:szCs w:val="24"/>
                <w:lang w:eastAsia="pl-PL"/>
              </w:rPr>
              <w:t>zących naszego miasta. Projekt „</w:t>
            </w:r>
            <w:proofErr w:type="spellStart"/>
            <w:r w:rsidR="00F75C43" w:rsidRPr="00816D5C">
              <w:rPr>
                <w:rFonts w:eastAsia="Times New Roman" w:cs="Times New Roman"/>
                <w:color w:val="000000"/>
                <w:sz w:val="24"/>
                <w:szCs w:val="24"/>
                <w:lang w:eastAsia="pl-PL"/>
              </w:rPr>
              <w:t>Fishbina</w:t>
            </w:r>
            <w:proofErr w:type="spellEnd"/>
            <w:r w:rsidR="00F75C43" w:rsidRPr="00816D5C">
              <w:rPr>
                <w:rFonts w:eastAsia="Times New Roman" w:cs="Times New Roman"/>
                <w:color w:val="000000"/>
                <w:sz w:val="24"/>
                <w:szCs w:val="24"/>
                <w:lang w:eastAsia="pl-PL"/>
              </w:rPr>
              <w:t>”</w:t>
            </w:r>
            <w:r w:rsidRPr="00816D5C">
              <w:rPr>
                <w:rFonts w:eastAsia="Times New Roman" w:cs="Times New Roman"/>
                <w:color w:val="000000"/>
                <w:sz w:val="24"/>
                <w:szCs w:val="24"/>
                <w:lang w:eastAsia="pl-PL"/>
              </w:rPr>
              <w:t>, choć oparty na podobnym pomyśle formalnym - utworzenia formy będącej ilustracją nowego tworu językowego łączącego słownictwo polskie i angielskie - nie ma tak uniwersalnego p</w:t>
            </w:r>
            <w:r w:rsidR="00F75C43" w:rsidRPr="00816D5C">
              <w:rPr>
                <w:rFonts w:eastAsia="Times New Roman" w:cs="Times New Roman"/>
                <w:color w:val="000000"/>
                <w:sz w:val="24"/>
                <w:szCs w:val="24"/>
                <w:lang w:eastAsia="pl-PL"/>
              </w:rPr>
              <w:t xml:space="preserve">rzesłania ideowego jak projekt „Białystok </w:t>
            </w:r>
            <w:proofErr w:type="spellStart"/>
            <w:r w:rsidR="00F75C43" w:rsidRPr="00816D5C">
              <w:rPr>
                <w:rFonts w:eastAsia="Times New Roman" w:cs="Times New Roman"/>
                <w:color w:val="000000"/>
                <w:sz w:val="24"/>
                <w:szCs w:val="24"/>
                <w:lang w:eastAsia="pl-PL"/>
              </w:rPr>
              <w:t>WidziMisie</w:t>
            </w:r>
            <w:proofErr w:type="spellEnd"/>
            <w:r w:rsidR="00F75C43" w:rsidRPr="00816D5C">
              <w:rPr>
                <w:rFonts w:eastAsia="Times New Roman" w:cs="Times New Roman"/>
                <w:color w:val="000000"/>
                <w:sz w:val="24"/>
                <w:szCs w:val="24"/>
                <w:lang w:eastAsia="pl-PL"/>
              </w:rPr>
              <w:t>”</w:t>
            </w:r>
            <w:r w:rsidRPr="00816D5C">
              <w:rPr>
                <w:rFonts w:eastAsia="Times New Roman" w:cs="Times New Roman"/>
                <w:color w:val="000000"/>
                <w:sz w:val="24"/>
                <w:szCs w:val="24"/>
                <w:lang w:eastAsia="pl-PL"/>
              </w:rPr>
              <w:t xml:space="preserve"> i nie daje możliwości różnorodnej interpretacji tematycznej i artystycznej. Wprowadzenie w przestrzeni miejskiej nowego elementu małej architektur</w:t>
            </w:r>
            <w:r w:rsidR="00F75C43" w:rsidRPr="00816D5C">
              <w:rPr>
                <w:rFonts w:eastAsia="Times New Roman" w:cs="Times New Roman"/>
                <w:color w:val="000000"/>
                <w:sz w:val="24"/>
                <w:szCs w:val="24"/>
                <w:lang w:eastAsia="pl-PL"/>
              </w:rPr>
              <w:t>y, konkurencyjnego do projektu „</w:t>
            </w:r>
            <w:r w:rsidRPr="00816D5C">
              <w:rPr>
                <w:rFonts w:eastAsia="Times New Roman" w:cs="Times New Roman"/>
                <w:color w:val="000000"/>
                <w:sz w:val="24"/>
                <w:szCs w:val="24"/>
                <w:lang w:eastAsia="pl-PL"/>
              </w:rPr>
              <w:t>Bi</w:t>
            </w:r>
            <w:r w:rsidR="00F75C43" w:rsidRPr="00816D5C">
              <w:rPr>
                <w:rFonts w:eastAsia="Times New Roman" w:cs="Times New Roman"/>
                <w:color w:val="000000"/>
                <w:sz w:val="24"/>
                <w:szCs w:val="24"/>
                <w:lang w:eastAsia="pl-PL"/>
              </w:rPr>
              <w:t xml:space="preserve">ałystok </w:t>
            </w:r>
            <w:proofErr w:type="spellStart"/>
            <w:r w:rsidR="00F75C43" w:rsidRPr="00816D5C">
              <w:rPr>
                <w:rFonts w:eastAsia="Times New Roman" w:cs="Times New Roman"/>
                <w:color w:val="000000"/>
                <w:sz w:val="24"/>
                <w:szCs w:val="24"/>
                <w:lang w:eastAsia="pl-PL"/>
              </w:rPr>
              <w:t>WidziMisie</w:t>
            </w:r>
            <w:proofErr w:type="spellEnd"/>
            <w:r w:rsidR="00F75C43" w:rsidRPr="00816D5C">
              <w:rPr>
                <w:rFonts w:eastAsia="Times New Roman" w:cs="Times New Roman"/>
                <w:color w:val="000000"/>
                <w:sz w:val="24"/>
                <w:szCs w:val="24"/>
                <w:lang w:eastAsia="pl-PL"/>
              </w:rPr>
              <w:t>”</w:t>
            </w:r>
            <w:r w:rsidRPr="00816D5C">
              <w:rPr>
                <w:rFonts w:eastAsia="Times New Roman" w:cs="Times New Roman"/>
                <w:color w:val="000000"/>
                <w:sz w:val="24"/>
                <w:szCs w:val="24"/>
                <w:lang w:eastAsia="pl-PL"/>
              </w:rPr>
              <w:t xml:space="preserve"> nie jest wskazane, ponieważ może zaburzyć spójność przyjętej przez Miasto koncepcji pro</w:t>
            </w:r>
            <w:r w:rsidR="00F75C43" w:rsidRPr="00816D5C">
              <w:rPr>
                <w:rFonts w:eastAsia="Times New Roman" w:cs="Times New Roman"/>
                <w:color w:val="000000"/>
                <w:sz w:val="24"/>
                <w:szCs w:val="24"/>
                <w:lang w:eastAsia="pl-PL"/>
              </w:rPr>
              <w:t>mowania miasta poprzez figurki „przyjaznych miśków”</w:t>
            </w:r>
            <w:r w:rsidRPr="00816D5C">
              <w:rPr>
                <w:rFonts w:eastAsia="Times New Roman" w:cs="Times New Roman"/>
                <w:color w:val="000000"/>
                <w:sz w:val="24"/>
                <w:szCs w:val="24"/>
                <w:lang w:eastAsia="pl-PL"/>
              </w:rPr>
              <w:t xml:space="preserve">. Ponadto, tereny działek nr 1423 i 1424/4 </w:t>
            </w:r>
            <w:proofErr w:type="spellStart"/>
            <w:r w:rsidRPr="00816D5C">
              <w:rPr>
                <w:rFonts w:eastAsia="Times New Roman" w:cs="Times New Roman"/>
                <w:color w:val="000000"/>
                <w:sz w:val="24"/>
                <w:szCs w:val="24"/>
                <w:lang w:eastAsia="pl-PL"/>
              </w:rPr>
              <w:t>obr</w:t>
            </w:r>
            <w:proofErr w:type="spellEnd"/>
            <w:r w:rsidRPr="00816D5C">
              <w:rPr>
                <w:rFonts w:eastAsia="Times New Roman" w:cs="Times New Roman"/>
                <w:color w:val="000000"/>
                <w:sz w:val="24"/>
                <w:szCs w:val="24"/>
                <w:lang w:eastAsia="pl-PL"/>
              </w:rPr>
              <w:t>. 11 zostały zagospodarowane jako fragmenty pasów drogowych ulic: Fabrycznej i Al. J. Piłsudskiego.</w:t>
            </w:r>
          </w:p>
        </w:tc>
      </w:tr>
      <w:tr w:rsidR="00EA4794" w:rsidRPr="00816D5C" w:rsidTr="00663123">
        <w:trPr>
          <w:trHeight w:val="6900"/>
        </w:trPr>
        <w:tc>
          <w:tcPr>
            <w:tcW w:w="500" w:type="dxa"/>
            <w:tcBorders>
              <w:top w:val="nil"/>
              <w:left w:val="single" w:sz="4" w:space="0" w:color="auto"/>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lastRenderedPageBreak/>
              <w:t>4.</w:t>
            </w:r>
          </w:p>
        </w:tc>
        <w:tc>
          <w:tcPr>
            <w:tcW w:w="2047" w:type="dxa"/>
            <w:tcBorders>
              <w:top w:val="nil"/>
              <w:left w:val="nil"/>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Nowoczesny SOR gwarantem życia i zdrowia mieszkańców Białegostoku</w:t>
            </w:r>
          </w:p>
        </w:tc>
        <w:tc>
          <w:tcPr>
            <w:tcW w:w="2551" w:type="dxa"/>
            <w:tcBorders>
              <w:top w:val="nil"/>
              <w:left w:val="nil"/>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Samodzielny Publiczny Zakład Opieki Zdrowotnej Wojewódzki Szpital Zespolony im. Jędrzeja Śniadeckiego w Białymstoku, Szpitalny Oddział Ratunkowy, ul. M. Skłodowskiej-Curie 25</w:t>
            </w:r>
          </w:p>
        </w:tc>
        <w:tc>
          <w:tcPr>
            <w:tcW w:w="3969" w:type="dxa"/>
            <w:tcBorders>
              <w:top w:val="nil"/>
              <w:left w:val="nil"/>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 xml:space="preserve">Projekt polega na zakupie i przekazaniu przez miasto Białystok Szpitalowi Wojewódzkiemu nowoczesnej aparatury medycznej i łóżek chorym ławek-foteli do poczekalni pacjentów szpitalnego oddziału ratunkowego (m. in. łóżko elektryczne, wózek pneumatyczny, system monitorowania, kardiomonitory, aparaty EKG, most anestezjologiczny, </w:t>
            </w:r>
            <w:proofErr w:type="spellStart"/>
            <w:r w:rsidRPr="00816D5C">
              <w:rPr>
                <w:rFonts w:eastAsia="Times New Roman" w:cs="Times New Roman"/>
                <w:color w:val="000000"/>
                <w:sz w:val="24"/>
                <w:szCs w:val="24"/>
                <w:lang w:eastAsia="pl-PL"/>
              </w:rPr>
              <w:t>videolaryngoskop</w:t>
            </w:r>
            <w:proofErr w:type="spellEnd"/>
            <w:r w:rsidRPr="00816D5C">
              <w:rPr>
                <w:rFonts w:eastAsia="Times New Roman" w:cs="Times New Roman"/>
                <w:color w:val="000000"/>
                <w:sz w:val="24"/>
                <w:szCs w:val="24"/>
                <w:lang w:eastAsia="pl-PL"/>
              </w:rPr>
              <w:t xml:space="preserve">, urządzenie do </w:t>
            </w:r>
            <w:proofErr w:type="spellStart"/>
            <w:r w:rsidRPr="00816D5C">
              <w:rPr>
                <w:rFonts w:eastAsia="Times New Roman" w:cs="Times New Roman"/>
                <w:color w:val="000000"/>
                <w:sz w:val="24"/>
                <w:szCs w:val="24"/>
                <w:lang w:eastAsia="pl-PL"/>
              </w:rPr>
              <w:t>kopresji</w:t>
            </w:r>
            <w:proofErr w:type="spellEnd"/>
            <w:r w:rsidRPr="00816D5C">
              <w:rPr>
                <w:rFonts w:eastAsia="Times New Roman" w:cs="Times New Roman"/>
                <w:color w:val="000000"/>
                <w:sz w:val="24"/>
                <w:szCs w:val="24"/>
                <w:lang w:eastAsia="pl-PL"/>
              </w:rPr>
              <w:t xml:space="preserve"> klatki piersiowej).</w:t>
            </w:r>
          </w:p>
        </w:tc>
        <w:tc>
          <w:tcPr>
            <w:tcW w:w="1985" w:type="dxa"/>
            <w:tcBorders>
              <w:top w:val="single" w:sz="4" w:space="0" w:color="auto"/>
              <w:left w:val="single" w:sz="4" w:space="0" w:color="auto"/>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 xml:space="preserve">          2 980 000,00 </w:t>
            </w:r>
          </w:p>
        </w:tc>
        <w:tc>
          <w:tcPr>
            <w:tcW w:w="4819" w:type="dxa"/>
            <w:tcBorders>
              <w:top w:val="nil"/>
              <w:left w:val="nil"/>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Projekt nie spełnia wymogu § 5 ust. 1 uchwały*.  Zadania własne gminy w zakresie zapewnienia równego dostępu do świadczeń opieki zdrowotnej określone zostały w art. 7 ust. 1 ustawy oświadczeniach opieki zdrowotnej finansowanych ze środków publicznych. Zakres projektu nie wchodzi w katalog zadań własnych gminy. Działania Miasta Białystok w zakresie profilaktyki i promocji zdrowia spełniają rolę pomocniczą w stosunku do oferowanych profilaktycznych świadczeń zdrowotnych w ramach powszechnego  ubezpieczenia zdrowotnego i finansowanych przez płatnika publicznego (NFZ). Stanowią działania uzupełniające względem świadczeń zdrowotnych zapewnianych przez organy do tego powołane, czyli Ministerstwo Zdrowia i NFZ.  Ponadto, zgodnie z ustawą z dnia 15 kwietnia 2011 r. o działalności leczniczej organem tworzącym Samodzielnego Publicznego Zakładu Opieki Zdrowotnej Wojewódzkiego Szpitala Zespolonego im. J. Śniadeckiego w Białymstoku, który może przyznać dotację na realizację zadania objętego projektem zgodnie z art. 115 jest Sejmik Województwa Podlaskiego.</w:t>
            </w:r>
          </w:p>
        </w:tc>
      </w:tr>
      <w:tr w:rsidR="00EA4794" w:rsidRPr="00816D5C" w:rsidTr="002A3E36">
        <w:trPr>
          <w:trHeight w:val="4100"/>
        </w:trPr>
        <w:tc>
          <w:tcPr>
            <w:tcW w:w="500" w:type="dxa"/>
            <w:tcBorders>
              <w:top w:val="nil"/>
              <w:left w:val="single" w:sz="4" w:space="0" w:color="auto"/>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lastRenderedPageBreak/>
              <w:t>5.</w:t>
            </w:r>
          </w:p>
        </w:tc>
        <w:tc>
          <w:tcPr>
            <w:tcW w:w="2047" w:type="dxa"/>
            <w:tcBorders>
              <w:top w:val="nil"/>
              <w:left w:val="nil"/>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2050 drzew dla Białegostoku</w:t>
            </w:r>
          </w:p>
        </w:tc>
        <w:tc>
          <w:tcPr>
            <w:tcW w:w="2551" w:type="dxa"/>
            <w:tcBorders>
              <w:top w:val="nil"/>
              <w:left w:val="nil"/>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 xml:space="preserve">Przykładowe tereny: ul. Słonimska (przy Urzędzie Miejskim), teren zielony za </w:t>
            </w:r>
            <w:proofErr w:type="spellStart"/>
            <w:r w:rsidRPr="00816D5C">
              <w:rPr>
                <w:rFonts w:eastAsia="Times New Roman" w:cs="Times New Roman"/>
                <w:color w:val="000000"/>
                <w:sz w:val="24"/>
                <w:szCs w:val="24"/>
                <w:lang w:eastAsia="pl-PL"/>
              </w:rPr>
              <w:t>Decatlonem</w:t>
            </w:r>
            <w:proofErr w:type="spellEnd"/>
            <w:r w:rsidRPr="00816D5C">
              <w:rPr>
                <w:rFonts w:eastAsia="Times New Roman" w:cs="Times New Roman"/>
                <w:color w:val="000000"/>
                <w:sz w:val="24"/>
                <w:szCs w:val="24"/>
                <w:lang w:eastAsia="pl-PL"/>
              </w:rPr>
              <w:t>, Park Antoniuk, centrum przesiadkowe nad Białką od strony Bulwarów ks. S. Hałko.</w:t>
            </w:r>
          </w:p>
        </w:tc>
        <w:tc>
          <w:tcPr>
            <w:tcW w:w="3969" w:type="dxa"/>
            <w:tcBorders>
              <w:top w:val="nil"/>
              <w:left w:val="nil"/>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Projekt zakłada posadzenie w ciągu 5 lat 2050 szt. nowych drzew na terenach należących do Miasta Białystok. Dodatkowo część sadzonek zostanie przekazanych mieszkańcom, spółdzie</w:t>
            </w:r>
            <w:r w:rsidR="003333FF" w:rsidRPr="00816D5C">
              <w:rPr>
                <w:rFonts w:eastAsia="Times New Roman" w:cs="Times New Roman"/>
                <w:color w:val="000000"/>
                <w:sz w:val="24"/>
                <w:szCs w:val="24"/>
                <w:lang w:eastAsia="pl-PL"/>
              </w:rPr>
              <w:t>l</w:t>
            </w:r>
            <w:r w:rsidRPr="00816D5C">
              <w:rPr>
                <w:rFonts w:eastAsia="Times New Roman" w:cs="Times New Roman"/>
                <w:color w:val="000000"/>
                <w:sz w:val="24"/>
                <w:szCs w:val="24"/>
                <w:lang w:eastAsia="pl-PL"/>
              </w:rPr>
              <w:t>niom mieszkaniowym i wspólnotom mieszkańców do zasadzenia we własnym zakresie na terenach prywatnych.</w:t>
            </w:r>
          </w:p>
        </w:tc>
        <w:tc>
          <w:tcPr>
            <w:tcW w:w="1985" w:type="dxa"/>
            <w:tcBorders>
              <w:top w:val="single" w:sz="4" w:space="0" w:color="auto"/>
              <w:left w:val="single" w:sz="4" w:space="0" w:color="auto"/>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 xml:space="preserve">          3 000 000,00 </w:t>
            </w:r>
          </w:p>
        </w:tc>
        <w:tc>
          <w:tcPr>
            <w:tcW w:w="4819" w:type="dxa"/>
            <w:tcBorders>
              <w:top w:val="nil"/>
              <w:left w:val="nil"/>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 xml:space="preserve">Projekt nie spełnia wymogu  § 5 ust. 1 i § 10 ust. 1 pkt 2 uchwały*. Inicjatywa posadzenia 2050 drzew nie może być zrealizowana na większości wskazanych działek ze względu na użytkowanie ich przez inne instytucje, planowane i realizowane inwestycje oraz ograniczenia środowiskowe tj. przebieg linii infrastruktury technicznej lub niesprzyjające warunki siedliskowe. Projekt zakłada posadzenie 2050 drzew w ciągu 5 lat. Zgodnie z  § 5 ust. 1 uchwały projekty powinny być realizowane w ciągu 1 roku budżetowego, w uzasadnionych przypadkach możliwe jest wydłużenie realizacji na lata następne, na zasadach określonych przepisami ustawy o finansach publicznych. </w:t>
            </w:r>
            <w:r w:rsidRPr="00816D5C">
              <w:rPr>
                <w:rFonts w:eastAsia="Times New Roman" w:cs="Times New Roman"/>
                <w:sz w:val="24"/>
                <w:szCs w:val="24"/>
                <w:lang w:eastAsia="pl-PL"/>
              </w:rPr>
              <w:t>Ponadto projektodawca nie wyraził zgody na zmianę nazwy projektu.</w:t>
            </w:r>
          </w:p>
        </w:tc>
      </w:tr>
      <w:tr w:rsidR="00EA4794" w:rsidRPr="00816D5C" w:rsidTr="00663123">
        <w:trPr>
          <w:trHeight w:val="1500"/>
        </w:trPr>
        <w:tc>
          <w:tcPr>
            <w:tcW w:w="500" w:type="dxa"/>
            <w:tcBorders>
              <w:top w:val="nil"/>
              <w:left w:val="single" w:sz="4" w:space="0" w:color="auto"/>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6.</w:t>
            </w:r>
          </w:p>
        </w:tc>
        <w:tc>
          <w:tcPr>
            <w:tcW w:w="2047" w:type="dxa"/>
            <w:tcBorders>
              <w:top w:val="nil"/>
              <w:left w:val="nil"/>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 xml:space="preserve">Ustawienie 2 ławek wolnostojących obok przystanku nr </w:t>
            </w:r>
            <w:proofErr w:type="spellStart"/>
            <w:r w:rsidRPr="00816D5C">
              <w:rPr>
                <w:rFonts w:eastAsia="Times New Roman" w:cs="Times New Roman"/>
                <w:color w:val="000000"/>
                <w:sz w:val="24"/>
                <w:szCs w:val="24"/>
                <w:lang w:eastAsia="pl-PL"/>
              </w:rPr>
              <w:t>inw</w:t>
            </w:r>
            <w:proofErr w:type="spellEnd"/>
            <w:r w:rsidRPr="00816D5C">
              <w:rPr>
                <w:rFonts w:eastAsia="Times New Roman" w:cs="Times New Roman"/>
                <w:color w:val="000000"/>
                <w:sz w:val="24"/>
                <w:szCs w:val="24"/>
                <w:lang w:eastAsia="pl-PL"/>
              </w:rPr>
              <w:t>. 301 Al. Piłsudskiego/Plac Niepodległości</w:t>
            </w:r>
          </w:p>
        </w:tc>
        <w:tc>
          <w:tcPr>
            <w:tcW w:w="2551" w:type="dxa"/>
            <w:tcBorders>
              <w:top w:val="nil"/>
              <w:left w:val="nil"/>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Przystanek nr 301, Plac Niepodległości Romana Dmowskiego</w:t>
            </w:r>
          </w:p>
        </w:tc>
        <w:tc>
          <w:tcPr>
            <w:tcW w:w="3969" w:type="dxa"/>
            <w:tcBorders>
              <w:top w:val="nil"/>
              <w:left w:val="nil"/>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Projekt zakłada przesunięcie przystanku lub ustawienie dodatkowej ławki, gdyż autobusy zatrzymują się przy sygnalizacji świetlnej.</w:t>
            </w:r>
          </w:p>
        </w:tc>
        <w:tc>
          <w:tcPr>
            <w:tcW w:w="1985" w:type="dxa"/>
            <w:tcBorders>
              <w:top w:val="single" w:sz="4" w:space="0" w:color="auto"/>
              <w:left w:val="single" w:sz="4" w:space="0" w:color="auto"/>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 xml:space="preserve">                5 000,00 </w:t>
            </w:r>
          </w:p>
        </w:tc>
        <w:tc>
          <w:tcPr>
            <w:tcW w:w="4819" w:type="dxa"/>
            <w:tcBorders>
              <w:top w:val="nil"/>
              <w:left w:val="nil"/>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W czerwcu 2024 r. zostały dostawione 2 dodatkowe ławki wolnostojące obok przystanku.</w:t>
            </w:r>
          </w:p>
        </w:tc>
      </w:tr>
      <w:tr w:rsidR="00EA4794" w:rsidRPr="00816D5C" w:rsidTr="002A3E36">
        <w:trPr>
          <w:trHeight w:val="5801"/>
        </w:trPr>
        <w:tc>
          <w:tcPr>
            <w:tcW w:w="500" w:type="dxa"/>
            <w:tcBorders>
              <w:top w:val="nil"/>
              <w:left w:val="single" w:sz="4" w:space="0" w:color="auto"/>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lastRenderedPageBreak/>
              <w:t>7.</w:t>
            </w:r>
          </w:p>
        </w:tc>
        <w:tc>
          <w:tcPr>
            <w:tcW w:w="2047" w:type="dxa"/>
            <w:tcBorders>
              <w:top w:val="nil"/>
              <w:left w:val="nil"/>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Sportowy tor do bezpiecznego uprawiania kolarstwa szosowego</w:t>
            </w:r>
          </w:p>
        </w:tc>
        <w:tc>
          <w:tcPr>
            <w:tcW w:w="2551" w:type="dxa"/>
            <w:tcBorders>
              <w:top w:val="nil"/>
              <w:left w:val="nil"/>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teren za Torem Wschodzący Białystok</w:t>
            </w:r>
          </w:p>
        </w:tc>
        <w:tc>
          <w:tcPr>
            <w:tcW w:w="3969" w:type="dxa"/>
            <w:tcBorders>
              <w:top w:val="nil"/>
              <w:left w:val="nil"/>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Projekt dotyczy budowy toru do trenowania kolarstwa szosowego w sposób bezpieczny. Bezpieczeństwo zapewni jednolita nawierzchnia, bez zbędnych przeszkód oraz oddalenie od ruchu samochodowego, innych pojazdów, pieszych i rowerzystów.</w:t>
            </w:r>
          </w:p>
        </w:tc>
        <w:tc>
          <w:tcPr>
            <w:tcW w:w="1985" w:type="dxa"/>
            <w:tcBorders>
              <w:top w:val="single" w:sz="4" w:space="0" w:color="auto"/>
              <w:left w:val="single" w:sz="4" w:space="0" w:color="auto"/>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 xml:space="preserve">          4 000 000,00 </w:t>
            </w:r>
          </w:p>
        </w:tc>
        <w:tc>
          <w:tcPr>
            <w:tcW w:w="4819" w:type="dxa"/>
            <w:tcBorders>
              <w:top w:val="nil"/>
              <w:left w:val="nil"/>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 xml:space="preserve">Projekt nie spełnia wymogu § 10 ust. 1 pkt 2 uchwały* oraz § 4 ust. 1 pkt 1 zarządzenia**.  Koszty realizacji zostały oszacowane na kwotę ok. 4 mln zł, co przewyższa limit określony na pojedynczy projekt </w:t>
            </w:r>
            <w:proofErr w:type="spellStart"/>
            <w:r w:rsidRPr="00816D5C">
              <w:rPr>
                <w:rFonts w:eastAsia="Times New Roman" w:cs="Times New Roman"/>
                <w:color w:val="000000"/>
                <w:sz w:val="24"/>
                <w:szCs w:val="24"/>
                <w:lang w:eastAsia="pl-PL"/>
              </w:rPr>
              <w:t>ogólnomiejski</w:t>
            </w:r>
            <w:proofErr w:type="spellEnd"/>
            <w:r w:rsidRPr="00816D5C">
              <w:rPr>
                <w:rFonts w:eastAsia="Times New Roman" w:cs="Times New Roman"/>
                <w:color w:val="000000"/>
                <w:sz w:val="24"/>
                <w:szCs w:val="24"/>
                <w:lang w:eastAsia="pl-PL"/>
              </w:rPr>
              <w:t>. Do kosztorysu należałoby doliczyć koszty wykonania ogrodzenia terenu oraz oświetlenia i monitoringu, które są niezbędnym elementem przy tego typu obiekcie. Brak ww. elementów znacząco ograniczyłoby możliwości korzystania z niego w okresie wiosennym i jesiennym oraz uniemożliwiłoby zapewnienie bezpieczeństwa osób korzystających, w tym ochronę przed aktami wandalizmu. Ponadto, teren na którym Projektodawca wskazał lokalizację toru jest zalesiony i realizacja projektu wymagałaby znacznej wycinki drzew i krzewów, które wygenerowałaby kolejny znaczący koszt. Ponadto, roczny koszt utrzymania obiektu może kształtować się podobnie do kosztów utrzymania Toru Wschodzący Białystok (ok. 345 tys. rocznie). Przez teren działki przebiegają drogi dojazdowe, których nie można objąć ogrodzonym terenem toru kolarskiego.</w:t>
            </w:r>
          </w:p>
        </w:tc>
      </w:tr>
      <w:tr w:rsidR="00EA4794" w:rsidRPr="00816D5C" w:rsidTr="002A3E36">
        <w:trPr>
          <w:trHeight w:val="1517"/>
        </w:trPr>
        <w:tc>
          <w:tcPr>
            <w:tcW w:w="500" w:type="dxa"/>
            <w:tcBorders>
              <w:top w:val="nil"/>
              <w:left w:val="single" w:sz="4" w:space="0" w:color="auto"/>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8.</w:t>
            </w:r>
          </w:p>
        </w:tc>
        <w:tc>
          <w:tcPr>
            <w:tcW w:w="2047" w:type="dxa"/>
            <w:tcBorders>
              <w:top w:val="nil"/>
              <w:left w:val="nil"/>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proofErr w:type="spellStart"/>
            <w:r w:rsidRPr="00816D5C">
              <w:rPr>
                <w:rFonts w:eastAsia="Times New Roman" w:cs="Times New Roman"/>
                <w:color w:val="000000"/>
                <w:sz w:val="24"/>
                <w:szCs w:val="24"/>
                <w:lang w:eastAsia="pl-PL"/>
              </w:rPr>
              <w:t>Pumptrack</w:t>
            </w:r>
            <w:proofErr w:type="spellEnd"/>
            <w:r w:rsidRPr="00816D5C">
              <w:rPr>
                <w:rFonts w:eastAsia="Times New Roman" w:cs="Times New Roman"/>
                <w:color w:val="000000"/>
                <w:sz w:val="24"/>
                <w:szCs w:val="24"/>
                <w:lang w:eastAsia="pl-PL"/>
              </w:rPr>
              <w:t xml:space="preserve"> (rowerowy plac zabaw)</w:t>
            </w:r>
          </w:p>
        </w:tc>
        <w:tc>
          <w:tcPr>
            <w:tcW w:w="2551" w:type="dxa"/>
            <w:tcBorders>
              <w:top w:val="nil"/>
              <w:left w:val="nil"/>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skrzyżowanie Alei Niepodległości i ul. Armii Krajowej</w:t>
            </w:r>
          </w:p>
        </w:tc>
        <w:tc>
          <w:tcPr>
            <w:tcW w:w="3969" w:type="dxa"/>
            <w:tcBorders>
              <w:top w:val="nil"/>
              <w:left w:val="nil"/>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 xml:space="preserve">Projekt dotyczy </w:t>
            </w:r>
            <w:r w:rsidR="00F75C43" w:rsidRPr="00816D5C">
              <w:rPr>
                <w:rFonts w:eastAsia="Times New Roman" w:cs="Times New Roman"/>
                <w:color w:val="000000"/>
                <w:sz w:val="24"/>
                <w:szCs w:val="24"/>
                <w:lang w:eastAsia="pl-PL"/>
              </w:rPr>
              <w:t>budowy toru rekreacyjnego typu „</w:t>
            </w:r>
            <w:proofErr w:type="spellStart"/>
            <w:r w:rsidR="00F75C43" w:rsidRPr="00816D5C">
              <w:rPr>
                <w:rFonts w:eastAsia="Times New Roman" w:cs="Times New Roman"/>
                <w:color w:val="000000"/>
                <w:sz w:val="24"/>
                <w:szCs w:val="24"/>
                <w:lang w:eastAsia="pl-PL"/>
              </w:rPr>
              <w:t>pumptrack</w:t>
            </w:r>
            <w:proofErr w:type="spellEnd"/>
            <w:r w:rsidR="00F75C43" w:rsidRPr="00816D5C">
              <w:rPr>
                <w:rFonts w:eastAsia="Times New Roman" w:cs="Times New Roman"/>
                <w:color w:val="000000"/>
                <w:sz w:val="24"/>
                <w:szCs w:val="24"/>
                <w:lang w:eastAsia="pl-PL"/>
              </w:rPr>
              <w:t>”</w:t>
            </w:r>
            <w:r w:rsidRPr="00816D5C">
              <w:rPr>
                <w:rFonts w:eastAsia="Times New Roman" w:cs="Times New Roman"/>
                <w:color w:val="000000"/>
                <w:sz w:val="24"/>
                <w:szCs w:val="24"/>
                <w:lang w:eastAsia="pl-PL"/>
              </w:rPr>
              <w:t xml:space="preserve"> pokrytego asfaltową nawierzchnią o długości ok. 300 m wraz z infrastrukturą.</w:t>
            </w:r>
          </w:p>
        </w:tc>
        <w:tc>
          <w:tcPr>
            <w:tcW w:w="1985" w:type="dxa"/>
            <w:tcBorders>
              <w:top w:val="single" w:sz="4" w:space="0" w:color="auto"/>
              <w:left w:val="single" w:sz="4" w:space="0" w:color="auto"/>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 xml:space="preserve">          1 000 000,00 </w:t>
            </w:r>
          </w:p>
        </w:tc>
        <w:tc>
          <w:tcPr>
            <w:tcW w:w="4819" w:type="dxa"/>
            <w:tcBorders>
              <w:top w:val="nil"/>
              <w:left w:val="nil"/>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Projekt nie spełnia wymogu § 6 pkt 6 uchwały*. Niemal cała powierzchnia dz. nr 492/19 stanowi teren zadrzewiony, w związku z czym konieczna byłaby wycinka dużej liczby drzew, co wiąże się z wysokim kosztem oraz niegospodarnością środków publicznych.</w:t>
            </w:r>
          </w:p>
        </w:tc>
      </w:tr>
      <w:tr w:rsidR="00EA4794" w:rsidRPr="00816D5C" w:rsidTr="00663123">
        <w:trPr>
          <w:trHeight w:val="1500"/>
        </w:trPr>
        <w:tc>
          <w:tcPr>
            <w:tcW w:w="500" w:type="dxa"/>
            <w:tcBorders>
              <w:top w:val="nil"/>
              <w:left w:val="single" w:sz="4" w:space="0" w:color="auto"/>
              <w:bottom w:val="single" w:sz="4" w:space="0" w:color="auto"/>
              <w:right w:val="single" w:sz="4" w:space="0" w:color="auto"/>
            </w:tcBorders>
            <w:shd w:val="clear" w:color="auto" w:fill="auto"/>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lastRenderedPageBreak/>
              <w:t>9.</w:t>
            </w:r>
          </w:p>
        </w:tc>
        <w:tc>
          <w:tcPr>
            <w:tcW w:w="2047" w:type="dxa"/>
            <w:tcBorders>
              <w:top w:val="nil"/>
              <w:left w:val="nil"/>
              <w:bottom w:val="single" w:sz="4" w:space="0" w:color="auto"/>
              <w:right w:val="single" w:sz="4" w:space="0" w:color="auto"/>
            </w:tcBorders>
            <w:shd w:val="clear" w:color="auto" w:fill="auto"/>
            <w:hideMark/>
          </w:tcPr>
          <w:p w:rsidR="00EA4794" w:rsidRPr="00816D5C" w:rsidRDefault="00F75C43"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„Włosy za głosy”</w:t>
            </w:r>
            <w:r w:rsidR="00EA4794" w:rsidRPr="00816D5C">
              <w:rPr>
                <w:rFonts w:eastAsia="Times New Roman" w:cs="Times New Roman"/>
                <w:color w:val="000000"/>
                <w:sz w:val="24"/>
                <w:szCs w:val="24"/>
                <w:lang w:eastAsia="pl-PL"/>
              </w:rPr>
              <w:t>. Wyrównanie szans pacjentów onkologicznych poprzez zakup urządzeń chroniących włosy</w:t>
            </w:r>
            <w:r w:rsidR="00EA4794" w:rsidRPr="00816D5C">
              <w:rPr>
                <w:rFonts w:eastAsia="Times New Roman" w:cs="Times New Roman"/>
                <w:sz w:val="24"/>
                <w:szCs w:val="24"/>
                <w:lang w:eastAsia="pl-PL"/>
              </w:rPr>
              <w:t xml:space="preserve"> (10 szt.)</w:t>
            </w:r>
          </w:p>
        </w:tc>
        <w:tc>
          <w:tcPr>
            <w:tcW w:w="2551" w:type="dxa"/>
            <w:tcBorders>
              <w:top w:val="nil"/>
              <w:left w:val="nil"/>
              <w:bottom w:val="single" w:sz="4" w:space="0" w:color="auto"/>
              <w:right w:val="single" w:sz="4" w:space="0" w:color="auto"/>
            </w:tcBorders>
            <w:shd w:val="clear" w:color="auto" w:fill="auto"/>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 xml:space="preserve">Białystok - oddziały podające chemioterapie </w:t>
            </w:r>
          </w:p>
        </w:tc>
        <w:tc>
          <w:tcPr>
            <w:tcW w:w="3969" w:type="dxa"/>
            <w:tcBorders>
              <w:top w:val="nil"/>
              <w:left w:val="nil"/>
              <w:bottom w:val="single" w:sz="4" w:space="0" w:color="auto"/>
              <w:right w:val="single" w:sz="4" w:space="0" w:color="auto"/>
            </w:tcBorders>
            <w:shd w:val="clear" w:color="auto" w:fill="auto"/>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Projekt zakłada zakup 10 specjalistycznych urządzeń, które umożliwią pacjentom onkologicznym poddawanym chemioterapii zapobiegać lub ograniczyć utratę włosów.</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 xml:space="preserve">          2 000 000,00 </w:t>
            </w:r>
          </w:p>
        </w:tc>
        <w:tc>
          <w:tcPr>
            <w:tcW w:w="4819" w:type="dxa"/>
            <w:tcBorders>
              <w:top w:val="nil"/>
              <w:left w:val="nil"/>
              <w:bottom w:val="single" w:sz="4" w:space="0" w:color="auto"/>
              <w:right w:val="single" w:sz="4" w:space="0" w:color="auto"/>
            </w:tcBorders>
            <w:shd w:val="clear" w:color="auto" w:fill="auto"/>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Projekt został wycofany przez projektodawcę.</w:t>
            </w:r>
          </w:p>
        </w:tc>
      </w:tr>
      <w:tr w:rsidR="00EA4794" w:rsidRPr="00816D5C" w:rsidTr="002A3E36">
        <w:trPr>
          <w:trHeight w:val="1265"/>
        </w:trPr>
        <w:tc>
          <w:tcPr>
            <w:tcW w:w="500" w:type="dxa"/>
            <w:tcBorders>
              <w:top w:val="nil"/>
              <w:left w:val="single" w:sz="4" w:space="0" w:color="auto"/>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10.</w:t>
            </w:r>
          </w:p>
        </w:tc>
        <w:tc>
          <w:tcPr>
            <w:tcW w:w="2047" w:type="dxa"/>
            <w:tcBorders>
              <w:top w:val="nil"/>
              <w:left w:val="nil"/>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 xml:space="preserve">Park Zielony </w:t>
            </w:r>
            <w:proofErr w:type="spellStart"/>
            <w:r w:rsidRPr="00816D5C">
              <w:rPr>
                <w:rFonts w:eastAsia="Times New Roman" w:cs="Times New Roman"/>
                <w:color w:val="000000"/>
                <w:sz w:val="24"/>
                <w:szCs w:val="24"/>
                <w:lang w:eastAsia="pl-PL"/>
              </w:rPr>
              <w:t>Białostoczek</w:t>
            </w:r>
            <w:proofErr w:type="spellEnd"/>
          </w:p>
        </w:tc>
        <w:tc>
          <w:tcPr>
            <w:tcW w:w="2551" w:type="dxa"/>
            <w:tcBorders>
              <w:top w:val="nil"/>
              <w:left w:val="nil"/>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Wzdłuż ulicy Aleja 1000-lecia Państwa Polskiego, między ulicami Sokólską i Radzymińską</w:t>
            </w:r>
          </w:p>
        </w:tc>
        <w:tc>
          <w:tcPr>
            <w:tcW w:w="3969" w:type="dxa"/>
            <w:tcBorders>
              <w:top w:val="nil"/>
              <w:left w:val="nil"/>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Projekt zakłada urządzenie nowoczesnego parku miejskiego, m.in. nasadzenie zieleni, wykonanie oświetlenia, wyposaże</w:t>
            </w:r>
            <w:r w:rsidR="003333FF" w:rsidRPr="00816D5C">
              <w:rPr>
                <w:rFonts w:eastAsia="Times New Roman" w:cs="Times New Roman"/>
                <w:color w:val="000000"/>
                <w:sz w:val="24"/>
                <w:szCs w:val="24"/>
                <w:lang w:eastAsia="pl-PL"/>
              </w:rPr>
              <w:t>nie w elementy małej architektur</w:t>
            </w:r>
            <w:r w:rsidRPr="00816D5C">
              <w:rPr>
                <w:rFonts w:eastAsia="Times New Roman" w:cs="Times New Roman"/>
                <w:color w:val="000000"/>
                <w:sz w:val="24"/>
                <w:szCs w:val="24"/>
                <w:lang w:eastAsia="pl-PL"/>
              </w:rPr>
              <w:t xml:space="preserve">y, toalety, </w:t>
            </w:r>
            <w:proofErr w:type="spellStart"/>
            <w:r w:rsidRPr="00816D5C">
              <w:rPr>
                <w:rFonts w:eastAsia="Times New Roman" w:cs="Times New Roman"/>
                <w:color w:val="000000"/>
                <w:sz w:val="24"/>
                <w:szCs w:val="24"/>
                <w:lang w:eastAsia="pl-PL"/>
              </w:rPr>
              <w:t>WiFi</w:t>
            </w:r>
            <w:proofErr w:type="spellEnd"/>
            <w:r w:rsidRPr="00816D5C">
              <w:rPr>
                <w:rFonts w:eastAsia="Times New Roman" w:cs="Times New Roman"/>
                <w:color w:val="000000"/>
                <w:sz w:val="24"/>
                <w:szCs w:val="24"/>
                <w:lang w:eastAsia="pl-PL"/>
              </w:rPr>
              <w:t>.</w:t>
            </w:r>
          </w:p>
        </w:tc>
        <w:tc>
          <w:tcPr>
            <w:tcW w:w="1985" w:type="dxa"/>
            <w:tcBorders>
              <w:top w:val="single" w:sz="4" w:space="0" w:color="auto"/>
              <w:left w:val="single" w:sz="4" w:space="0" w:color="auto"/>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 xml:space="preserve">          1 980 000,00 </w:t>
            </w:r>
          </w:p>
        </w:tc>
        <w:tc>
          <w:tcPr>
            <w:tcW w:w="4819" w:type="dxa"/>
            <w:tcBorders>
              <w:top w:val="single" w:sz="4" w:space="0" w:color="auto"/>
              <w:left w:val="single" w:sz="4" w:space="0" w:color="auto"/>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 xml:space="preserve">Projekt nie spełnia wymogu § 6 pkt 2 uchwały*. Dz. nr 377/9 </w:t>
            </w:r>
            <w:proofErr w:type="spellStart"/>
            <w:r w:rsidRPr="00816D5C">
              <w:rPr>
                <w:rFonts w:eastAsia="Times New Roman" w:cs="Times New Roman"/>
                <w:color w:val="000000"/>
                <w:sz w:val="24"/>
                <w:szCs w:val="24"/>
                <w:lang w:eastAsia="pl-PL"/>
              </w:rPr>
              <w:t>obr</w:t>
            </w:r>
            <w:proofErr w:type="spellEnd"/>
            <w:r w:rsidRPr="00816D5C">
              <w:rPr>
                <w:rFonts w:eastAsia="Times New Roman" w:cs="Times New Roman"/>
                <w:color w:val="000000"/>
                <w:sz w:val="24"/>
                <w:szCs w:val="24"/>
                <w:lang w:eastAsia="pl-PL"/>
              </w:rPr>
              <w:t>. 12 jest objęta postępowaniem w sprawie zwrotu nieruchomości i postępowaniem w sprawie ustanowienia służebności przesyłu na istniejące urządzenia.</w:t>
            </w:r>
          </w:p>
        </w:tc>
      </w:tr>
      <w:tr w:rsidR="00EA4794" w:rsidRPr="00816D5C" w:rsidTr="002A3E36">
        <w:trPr>
          <w:trHeight w:val="1537"/>
        </w:trPr>
        <w:tc>
          <w:tcPr>
            <w:tcW w:w="500" w:type="dxa"/>
            <w:tcBorders>
              <w:top w:val="nil"/>
              <w:left w:val="single" w:sz="4" w:space="0" w:color="auto"/>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11.</w:t>
            </w:r>
          </w:p>
        </w:tc>
        <w:tc>
          <w:tcPr>
            <w:tcW w:w="2047" w:type="dxa"/>
            <w:tcBorders>
              <w:top w:val="nil"/>
              <w:left w:val="nil"/>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Scena przy Pogodnej</w:t>
            </w:r>
          </w:p>
        </w:tc>
        <w:tc>
          <w:tcPr>
            <w:tcW w:w="2551" w:type="dxa"/>
            <w:tcBorders>
              <w:top w:val="nil"/>
              <w:left w:val="nil"/>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ul. Pogodna</w:t>
            </w:r>
          </w:p>
        </w:tc>
        <w:tc>
          <w:tcPr>
            <w:tcW w:w="3969" w:type="dxa"/>
            <w:tcBorders>
              <w:top w:val="nil"/>
              <w:left w:val="nil"/>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Projekt zakłada budowę sceny plenerowej wraz z zadaszeniem oraz ławkami dla publiczności. Znajdować się tam będą również stoły do ping ponga, gry w szachy. Wybudowany zostanie chodnik ułatwiający dostęp do tej przestrzeni.</w:t>
            </w:r>
          </w:p>
        </w:tc>
        <w:tc>
          <w:tcPr>
            <w:tcW w:w="1985" w:type="dxa"/>
            <w:tcBorders>
              <w:top w:val="single" w:sz="4" w:space="0" w:color="auto"/>
              <w:left w:val="single" w:sz="4" w:space="0" w:color="auto"/>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 xml:space="preserve">             779 900,00 </w:t>
            </w:r>
          </w:p>
        </w:tc>
        <w:tc>
          <w:tcPr>
            <w:tcW w:w="4819" w:type="dxa"/>
            <w:tcBorders>
              <w:top w:val="single" w:sz="4" w:space="0" w:color="auto"/>
              <w:left w:val="single" w:sz="4" w:space="0" w:color="auto"/>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 xml:space="preserve">Projekt nie spełnia wymogu § 6 pkt 2 uchwały*. Dz. nr 184/79 </w:t>
            </w:r>
            <w:proofErr w:type="spellStart"/>
            <w:r w:rsidRPr="00816D5C">
              <w:rPr>
                <w:rFonts w:eastAsia="Times New Roman" w:cs="Times New Roman"/>
                <w:color w:val="000000"/>
                <w:sz w:val="24"/>
                <w:szCs w:val="24"/>
                <w:lang w:eastAsia="pl-PL"/>
              </w:rPr>
              <w:t>obr</w:t>
            </w:r>
            <w:proofErr w:type="spellEnd"/>
            <w:r w:rsidRPr="00816D5C">
              <w:rPr>
                <w:rFonts w:eastAsia="Times New Roman" w:cs="Times New Roman"/>
                <w:color w:val="000000"/>
                <w:sz w:val="24"/>
                <w:szCs w:val="24"/>
                <w:lang w:eastAsia="pl-PL"/>
              </w:rPr>
              <w:t>. 8 jest objęta postępowaniem zwrotowym. W postępowaniu z roszczeniem zgłosiło się kilkaset osób, w związku z tym nie ma perspektywy na szybkie zakończenie przedmiotowego postępowania.</w:t>
            </w:r>
          </w:p>
        </w:tc>
      </w:tr>
      <w:tr w:rsidR="00EA4794" w:rsidRPr="00816D5C" w:rsidTr="00663123">
        <w:trPr>
          <w:trHeight w:val="6368"/>
        </w:trPr>
        <w:tc>
          <w:tcPr>
            <w:tcW w:w="500" w:type="dxa"/>
            <w:tcBorders>
              <w:top w:val="nil"/>
              <w:left w:val="single" w:sz="4" w:space="0" w:color="auto"/>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lastRenderedPageBreak/>
              <w:t>12.</w:t>
            </w:r>
          </w:p>
        </w:tc>
        <w:tc>
          <w:tcPr>
            <w:tcW w:w="2047" w:type="dxa"/>
            <w:tcBorders>
              <w:top w:val="nil"/>
              <w:left w:val="nil"/>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 xml:space="preserve">Karetka </w:t>
            </w:r>
            <w:proofErr w:type="spellStart"/>
            <w:r w:rsidRPr="00816D5C">
              <w:rPr>
                <w:rFonts w:eastAsia="Times New Roman" w:cs="Times New Roman"/>
                <w:color w:val="000000"/>
                <w:sz w:val="24"/>
                <w:szCs w:val="24"/>
                <w:lang w:eastAsia="pl-PL"/>
              </w:rPr>
              <w:t>bariatryczna</w:t>
            </w:r>
            <w:proofErr w:type="spellEnd"/>
            <w:r w:rsidRPr="00816D5C">
              <w:rPr>
                <w:rFonts w:eastAsia="Times New Roman" w:cs="Times New Roman"/>
                <w:color w:val="000000"/>
                <w:sz w:val="24"/>
                <w:szCs w:val="24"/>
                <w:lang w:eastAsia="pl-PL"/>
              </w:rPr>
              <w:t xml:space="preserve"> dla Białostoczan z problemem otyłości</w:t>
            </w:r>
          </w:p>
        </w:tc>
        <w:tc>
          <w:tcPr>
            <w:tcW w:w="2551" w:type="dxa"/>
            <w:tcBorders>
              <w:top w:val="nil"/>
              <w:left w:val="nil"/>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Samodzielny Publiczny Zakład Opieki Zdrowotnej Wojewódzkiej Stacji Pogotowia Ratunkowego w Białymstoku, ul. Poleska 89</w:t>
            </w:r>
          </w:p>
        </w:tc>
        <w:tc>
          <w:tcPr>
            <w:tcW w:w="3969" w:type="dxa"/>
            <w:tcBorders>
              <w:top w:val="nil"/>
              <w:left w:val="nil"/>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 xml:space="preserve">Projekt zakłada zakup ambulansu </w:t>
            </w:r>
            <w:proofErr w:type="spellStart"/>
            <w:r w:rsidRPr="00816D5C">
              <w:rPr>
                <w:rFonts w:eastAsia="Times New Roman" w:cs="Times New Roman"/>
                <w:color w:val="000000"/>
                <w:sz w:val="24"/>
                <w:szCs w:val="24"/>
                <w:lang w:eastAsia="pl-PL"/>
              </w:rPr>
              <w:t>bariatrycznego</w:t>
            </w:r>
            <w:proofErr w:type="spellEnd"/>
            <w:r w:rsidRPr="00816D5C">
              <w:rPr>
                <w:rFonts w:eastAsia="Times New Roman" w:cs="Times New Roman"/>
                <w:color w:val="000000"/>
                <w:sz w:val="24"/>
                <w:szCs w:val="24"/>
                <w:lang w:eastAsia="pl-PL"/>
              </w:rPr>
              <w:t xml:space="preserve"> z wyposażeniem oraz przeprow</w:t>
            </w:r>
            <w:r w:rsidR="00F75C43" w:rsidRPr="00816D5C">
              <w:rPr>
                <w:rFonts w:eastAsia="Times New Roman" w:cs="Times New Roman"/>
                <w:color w:val="000000"/>
                <w:sz w:val="24"/>
                <w:szCs w:val="24"/>
                <w:lang w:eastAsia="pl-PL"/>
              </w:rPr>
              <w:t>adzenie kampanii informacyjnej „</w:t>
            </w:r>
            <w:r w:rsidRPr="00816D5C">
              <w:rPr>
                <w:rFonts w:eastAsia="Times New Roman" w:cs="Times New Roman"/>
                <w:color w:val="000000"/>
                <w:sz w:val="24"/>
                <w:szCs w:val="24"/>
                <w:lang w:eastAsia="pl-PL"/>
              </w:rPr>
              <w:t xml:space="preserve">Jak sobie radzić z </w:t>
            </w:r>
            <w:r w:rsidR="00F75C43" w:rsidRPr="00816D5C">
              <w:rPr>
                <w:rFonts w:eastAsia="Times New Roman" w:cs="Times New Roman"/>
                <w:color w:val="000000"/>
                <w:sz w:val="24"/>
                <w:szCs w:val="24"/>
                <w:lang w:eastAsia="pl-PL"/>
              </w:rPr>
              <w:t>otyłością, gdzie szukać pomocy?”</w:t>
            </w:r>
            <w:r w:rsidRPr="00816D5C">
              <w:rPr>
                <w:rFonts w:eastAsia="Times New Roman" w:cs="Times New Roman"/>
                <w:color w:val="000000"/>
                <w:sz w:val="24"/>
                <w:szCs w:val="24"/>
                <w:lang w:eastAsia="pl-PL"/>
              </w:rPr>
              <w:t>. Ambulans będzie wykorzystany do transportów pacjentów, w szczególności z otyłością. Zostanie wyposażony w nowoczesny sprzęt medyczny, m.in. specjalne nosze, system łączności, krzesełko kardiologiczne i płachtę.</w:t>
            </w:r>
          </w:p>
        </w:tc>
        <w:tc>
          <w:tcPr>
            <w:tcW w:w="1985" w:type="dxa"/>
            <w:tcBorders>
              <w:top w:val="single" w:sz="4" w:space="0" w:color="auto"/>
              <w:left w:val="single" w:sz="4" w:space="0" w:color="auto"/>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 xml:space="preserve">             950 000,00 </w:t>
            </w:r>
          </w:p>
        </w:tc>
        <w:tc>
          <w:tcPr>
            <w:tcW w:w="4819" w:type="dxa"/>
            <w:tcBorders>
              <w:top w:val="single" w:sz="4" w:space="0" w:color="auto"/>
              <w:left w:val="single" w:sz="4" w:space="0" w:color="auto"/>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 xml:space="preserve">Projekt nie spełnia wymogu § 5 ust. 1 uchwały*.  Zadania własne gminy w zakresie zapewnienia równego dostępu do świadczeń opieki zdrowotnej określone zostały w art. 7 ust. 1 ustawy o świadczeniach opieki zdrowotnej finansowanych ze środków publicznych. Zakres projektu polegającego na zakupie karetki </w:t>
            </w:r>
            <w:proofErr w:type="spellStart"/>
            <w:r w:rsidRPr="00816D5C">
              <w:rPr>
                <w:rFonts w:eastAsia="Times New Roman" w:cs="Times New Roman"/>
                <w:color w:val="000000"/>
                <w:sz w:val="24"/>
                <w:szCs w:val="24"/>
                <w:lang w:eastAsia="pl-PL"/>
              </w:rPr>
              <w:t>bariatrycznej</w:t>
            </w:r>
            <w:proofErr w:type="spellEnd"/>
            <w:r w:rsidRPr="00816D5C">
              <w:rPr>
                <w:rFonts w:eastAsia="Times New Roman" w:cs="Times New Roman"/>
                <w:color w:val="000000"/>
                <w:sz w:val="24"/>
                <w:szCs w:val="24"/>
                <w:lang w:eastAsia="pl-PL"/>
              </w:rPr>
              <w:t xml:space="preserve"> nie wchodzi w katalog zadań własnych gminy. Działania Miasta Białystok w zakresie profilaktyki i promocji zdrowia spełniają rolę pomocniczą w stosunku do oferowanych profilaktycznych świadczeń zdrowotnych w ramach powszechnego  ubezpieczenia zdrowotnego i finansowanych przez płatnika publicznego (NFZ). Stanowią działania uzupełniające względem świadczeń zdrowotnych zapewnianych przez organy do tego powołane, czyli Ministerstwo Zdrowia i NFZ.  Ponadto, organem tworzącym Samodzielnego Publicznego Zakładu Opieki Zdrowotnej Wojewódzkiej Stacji Pogotowia Ratunkowego w Białymstoku, który może przyznać dotację na realizację zadania objętego projektem zgodnie z art. 115 jest Sejmik Województwa Podlaskiego.</w:t>
            </w:r>
          </w:p>
        </w:tc>
      </w:tr>
      <w:tr w:rsidR="00EA4794" w:rsidRPr="00816D5C" w:rsidTr="002A3E36">
        <w:trPr>
          <w:trHeight w:val="840"/>
        </w:trPr>
        <w:tc>
          <w:tcPr>
            <w:tcW w:w="500" w:type="dxa"/>
            <w:tcBorders>
              <w:top w:val="nil"/>
              <w:left w:val="single" w:sz="4" w:space="0" w:color="auto"/>
              <w:bottom w:val="single" w:sz="4" w:space="0" w:color="auto"/>
              <w:right w:val="single" w:sz="4" w:space="0" w:color="auto"/>
            </w:tcBorders>
            <w:shd w:val="clear" w:color="auto" w:fill="auto"/>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13.</w:t>
            </w:r>
          </w:p>
        </w:tc>
        <w:tc>
          <w:tcPr>
            <w:tcW w:w="2047" w:type="dxa"/>
            <w:tcBorders>
              <w:top w:val="nil"/>
              <w:left w:val="nil"/>
              <w:bottom w:val="single" w:sz="4" w:space="0" w:color="auto"/>
              <w:right w:val="single" w:sz="4" w:space="0" w:color="auto"/>
            </w:tcBorders>
            <w:shd w:val="clear" w:color="auto" w:fill="auto"/>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Wiedzieć więcej - tablice informacyjne na każdym osiedlu</w:t>
            </w:r>
          </w:p>
        </w:tc>
        <w:tc>
          <w:tcPr>
            <w:tcW w:w="2551" w:type="dxa"/>
            <w:tcBorders>
              <w:top w:val="nil"/>
              <w:left w:val="nil"/>
              <w:bottom w:val="single" w:sz="4" w:space="0" w:color="auto"/>
              <w:right w:val="single" w:sz="4" w:space="0" w:color="auto"/>
            </w:tcBorders>
            <w:shd w:val="clear" w:color="auto" w:fill="auto"/>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przy przystankach komunikacji miejskiej na każdym osiedlu</w:t>
            </w:r>
          </w:p>
        </w:tc>
        <w:tc>
          <w:tcPr>
            <w:tcW w:w="3969" w:type="dxa"/>
            <w:tcBorders>
              <w:top w:val="nil"/>
              <w:left w:val="nil"/>
              <w:bottom w:val="single" w:sz="4" w:space="0" w:color="auto"/>
              <w:right w:val="single" w:sz="4" w:space="0" w:color="auto"/>
            </w:tcBorders>
            <w:shd w:val="clear" w:color="auto" w:fill="auto"/>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Projekt zakłada montaż 56 tablic informacyjnych na każdym osiedlu (po 2 tablice na osiedle).</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 xml:space="preserve">             110 000,00 </w:t>
            </w:r>
          </w:p>
        </w:tc>
        <w:tc>
          <w:tcPr>
            <w:tcW w:w="4819" w:type="dxa"/>
            <w:tcBorders>
              <w:top w:val="nil"/>
              <w:left w:val="nil"/>
              <w:bottom w:val="single" w:sz="4" w:space="0" w:color="auto"/>
              <w:right w:val="single" w:sz="4" w:space="0" w:color="auto"/>
            </w:tcBorders>
            <w:shd w:val="clear" w:color="auto" w:fill="auto"/>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Projekt został wycofany przez projektodawcę.</w:t>
            </w:r>
          </w:p>
        </w:tc>
      </w:tr>
      <w:tr w:rsidR="00EA4794" w:rsidRPr="00816D5C" w:rsidTr="002A3E36">
        <w:trPr>
          <w:trHeight w:val="2043"/>
        </w:trPr>
        <w:tc>
          <w:tcPr>
            <w:tcW w:w="500" w:type="dxa"/>
            <w:tcBorders>
              <w:top w:val="nil"/>
              <w:left w:val="single" w:sz="4" w:space="0" w:color="auto"/>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lastRenderedPageBreak/>
              <w:t>14.</w:t>
            </w:r>
          </w:p>
        </w:tc>
        <w:tc>
          <w:tcPr>
            <w:tcW w:w="2047" w:type="dxa"/>
            <w:tcBorders>
              <w:top w:val="nil"/>
              <w:left w:val="nil"/>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Uratuj Życie. Zakup i instalacja zewnętrznych AED na terenie Politechniki Białostockiej</w:t>
            </w:r>
          </w:p>
        </w:tc>
        <w:tc>
          <w:tcPr>
            <w:tcW w:w="2551" w:type="dxa"/>
            <w:tcBorders>
              <w:top w:val="nil"/>
              <w:left w:val="nil"/>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Politechnika Białostocka, ul. Wiejska 45A</w:t>
            </w:r>
          </w:p>
        </w:tc>
        <w:tc>
          <w:tcPr>
            <w:tcW w:w="3969" w:type="dxa"/>
            <w:tcBorders>
              <w:top w:val="nil"/>
              <w:left w:val="nil"/>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Projekt zakłada montaż 6 defibrylatorów na terenie Politechniki Białostockiej oraz organizację szkoleń dla mieszkańców z udzielania pierwszej pomocy przedmedycznej.</w:t>
            </w:r>
          </w:p>
        </w:tc>
        <w:tc>
          <w:tcPr>
            <w:tcW w:w="1985" w:type="dxa"/>
            <w:tcBorders>
              <w:top w:val="single" w:sz="4" w:space="0" w:color="auto"/>
              <w:left w:val="single" w:sz="4" w:space="0" w:color="auto"/>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 xml:space="preserve">             210 000,00 </w:t>
            </w:r>
          </w:p>
        </w:tc>
        <w:tc>
          <w:tcPr>
            <w:tcW w:w="4819" w:type="dxa"/>
            <w:tcBorders>
              <w:top w:val="nil"/>
              <w:left w:val="nil"/>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Projekt nie spełnia wymogu § 5 ust. 2 oraz § 10 ust. 4 uchwały*. Z uwagi na brak możliwości realizacji projektu na terenie Politechniki Białostockiej, zaproponowano projektodawcy możliwość montażu AED przy sygnalizacji świetlnej przy ul. Wiejskiej, Zwierzynieckiej i Sosnowskiego. W związku z brakiem zgody projektodawcy na zmianę lokalizacji projekt został oceniony negatywnie.</w:t>
            </w:r>
          </w:p>
        </w:tc>
      </w:tr>
      <w:tr w:rsidR="00EA4794" w:rsidRPr="00816D5C" w:rsidTr="00663123">
        <w:trPr>
          <w:trHeight w:val="1272"/>
        </w:trPr>
        <w:tc>
          <w:tcPr>
            <w:tcW w:w="500" w:type="dxa"/>
            <w:tcBorders>
              <w:top w:val="nil"/>
              <w:left w:val="single" w:sz="4" w:space="0" w:color="auto"/>
              <w:bottom w:val="single" w:sz="4" w:space="0" w:color="auto"/>
              <w:right w:val="single" w:sz="4" w:space="0" w:color="auto"/>
            </w:tcBorders>
            <w:shd w:val="clear" w:color="auto" w:fill="auto"/>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15.</w:t>
            </w:r>
          </w:p>
        </w:tc>
        <w:tc>
          <w:tcPr>
            <w:tcW w:w="2047" w:type="dxa"/>
            <w:tcBorders>
              <w:top w:val="nil"/>
              <w:left w:val="nil"/>
              <w:bottom w:val="single" w:sz="4" w:space="0" w:color="auto"/>
              <w:right w:val="single" w:sz="4" w:space="0" w:color="auto"/>
            </w:tcBorders>
            <w:shd w:val="clear" w:color="auto" w:fill="auto"/>
            <w:hideMark/>
          </w:tcPr>
          <w:p w:rsidR="00EA4794" w:rsidRPr="00816D5C" w:rsidRDefault="00EA4794" w:rsidP="000F2823">
            <w:pPr>
              <w:spacing w:after="0" w:line="240" w:lineRule="auto"/>
              <w:rPr>
                <w:rFonts w:eastAsia="Times New Roman" w:cs="Times New Roman"/>
                <w:color w:val="000000"/>
                <w:sz w:val="24"/>
                <w:szCs w:val="24"/>
                <w:lang w:eastAsia="pl-PL"/>
              </w:rPr>
            </w:pPr>
            <w:proofErr w:type="spellStart"/>
            <w:r w:rsidRPr="00816D5C">
              <w:rPr>
                <w:rFonts w:eastAsia="Times New Roman" w:cs="Times New Roman"/>
                <w:color w:val="000000"/>
                <w:sz w:val="24"/>
                <w:szCs w:val="24"/>
                <w:lang w:eastAsia="pl-PL"/>
              </w:rPr>
              <w:t>Skatepark</w:t>
            </w:r>
            <w:proofErr w:type="spellEnd"/>
          </w:p>
        </w:tc>
        <w:tc>
          <w:tcPr>
            <w:tcW w:w="2551" w:type="dxa"/>
            <w:tcBorders>
              <w:top w:val="nil"/>
              <w:left w:val="nil"/>
              <w:bottom w:val="single" w:sz="4" w:space="0" w:color="auto"/>
              <w:right w:val="single" w:sz="4" w:space="0" w:color="auto"/>
            </w:tcBorders>
            <w:shd w:val="clear" w:color="auto" w:fill="auto"/>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ul. Klepacka</w:t>
            </w:r>
          </w:p>
        </w:tc>
        <w:tc>
          <w:tcPr>
            <w:tcW w:w="3969" w:type="dxa"/>
            <w:tcBorders>
              <w:top w:val="nil"/>
              <w:left w:val="nil"/>
              <w:bottom w:val="single" w:sz="4" w:space="0" w:color="auto"/>
              <w:right w:val="single" w:sz="4" w:space="0" w:color="auto"/>
            </w:tcBorders>
            <w:shd w:val="clear" w:color="auto" w:fill="auto"/>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 xml:space="preserve">Projekt zakłada budowę </w:t>
            </w:r>
            <w:proofErr w:type="spellStart"/>
            <w:r w:rsidRPr="00816D5C">
              <w:rPr>
                <w:rFonts w:eastAsia="Times New Roman" w:cs="Times New Roman"/>
                <w:color w:val="000000"/>
                <w:sz w:val="24"/>
                <w:szCs w:val="24"/>
                <w:lang w:eastAsia="pl-PL"/>
              </w:rPr>
              <w:t>skateparku</w:t>
            </w:r>
            <w:proofErr w:type="spellEnd"/>
            <w:r w:rsidRPr="00816D5C">
              <w:rPr>
                <w:rFonts w:eastAsia="Times New Roman" w:cs="Times New Roman"/>
                <w:color w:val="000000"/>
                <w:sz w:val="24"/>
                <w:szCs w:val="24"/>
                <w:lang w:eastAsia="pl-PL"/>
              </w:rPr>
              <w:t xml:space="preserve"> i </w:t>
            </w:r>
            <w:proofErr w:type="spellStart"/>
            <w:r w:rsidRPr="00816D5C">
              <w:rPr>
                <w:rFonts w:eastAsia="Times New Roman" w:cs="Times New Roman"/>
                <w:color w:val="000000"/>
                <w:sz w:val="24"/>
                <w:szCs w:val="24"/>
                <w:lang w:eastAsia="pl-PL"/>
              </w:rPr>
              <w:t>pumptracku</w:t>
            </w:r>
            <w:proofErr w:type="spellEnd"/>
            <w:r w:rsidRPr="00816D5C">
              <w:rPr>
                <w:rFonts w:eastAsia="Times New Roman" w:cs="Times New Roman"/>
                <w:color w:val="000000"/>
                <w:sz w:val="24"/>
                <w:szCs w:val="24"/>
                <w:lang w:eastAsia="pl-PL"/>
              </w:rPr>
              <w:t xml:space="preserve"> dla dzieci i młodzieży</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 xml:space="preserve">          1 000 000,00 </w:t>
            </w:r>
          </w:p>
        </w:tc>
        <w:tc>
          <w:tcPr>
            <w:tcW w:w="4819" w:type="dxa"/>
            <w:tcBorders>
              <w:top w:val="nil"/>
              <w:left w:val="nil"/>
              <w:bottom w:val="single" w:sz="4" w:space="0" w:color="auto"/>
              <w:right w:val="single" w:sz="4" w:space="0" w:color="auto"/>
            </w:tcBorders>
            <w:shd w:val="clear" w:color="auto" w:fill="auto"/>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Projekt uzyskał negatywną ocenę ogólną - nie spełnia wymagań § 7 ust. 7 pkt 2 uchwały*. Projektodawca został wezwany do uzupełnienia stwierdzonych braków. Projektodawca nie usunął nieprawidłowości.</w:t>
            </w:r>
          </w:p>
        </w:tc>
      </w:tr>
      <w:tr w:rsidR="00EA4794" w:rsidRPr="00816D5C" w:rsidTr="002A3E36">
        <w:trPr>
          <w:trHeight w:val="1268"/>
        </w:trPr>
        <w:tc>
          <w:tcPr>
            <w:tcW w:w="500" w:type="dxa"/>
            <w:tcBorders>
              <w:top w:val="nil"/>
              <w:left w:val="single" w:sz="4" w:space="0" w:color="auto"/>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16.</w:t>
            </w:r>
          </w:p>
        </w:tc>
        <w:tc>
          <w:tcPr>
            <w:tcW w:w="2047" w:type="dxa"/>
            <w:tcBorders>
              <w:top w:val="nil"/>
              <w:left w:val="nil"/>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 xml:space="preserve">Park na osiedlu </w:t>
            </w:r>
            <w:proofErr w:type="spellStart"/>
            <w:r w:rsidRPr="00816D5C">
              <w:rPr>
                <w:rFonts w:eastAsia="Times New Roman" w:cs="Times New Roman"/>
                <w:color w:val="000000"/>
                <w:sz w:val="24"/>
                <w:szCs w:val="24"/>
                <w:lang w:eastAsia="pl-PL"/>
              </w:rPr>
              <w:t>Białostoczek</w:t>
            </w:r>
            <w:proofErr w:type="spellEnd"/>
          </w:p>
        </w:tc>
        <w:tc>
          <w:tcPr>
            <w:tcW w:w="2551" w:type="dxa"/>
            <w:tcBorders>
              <w:top w:val="nil"/>
              <w:left w:val="nil"/>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pomiędzy Al. 1000-lecia Państwa Polskiego , ul. Radzymińska, a ul. Sokólską</w:t>
            </w:r>
          </w:p>
        </w:tc>
        <w:tc>
          <w:tcPr>
            <w:tcW w:w="3969" w:type="dxa"/>
            <w:tcBorders>
              <w:top w:val="nil"/>
              <w:left w:val="nil"/>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Projekt zakłada utworzenie zielonych terenów rekreacyjno-wypoczynkowych ze ścieżką zdrowia, edukacyjną i ścieżką pieszą wzdłuż istniejącej ścieżki rowerowej.</w:t>
            </w:r>
          </w:p>
        </w:tc>
        <w:tc>
          <w:tcPr>
            <w:tcW w:w="1985" w:type="dxa"/>
            <w:tcBorders>
              <w:top w:val="single" w:sz="4" w:space="0" w:color="auto"/>
              <w:left w:val="single" w:sz="4" w:space="0" w:color="auto"/>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 xml:space="preserve">          1 999 999,00 </w:t>
            </w:r>
          </w:p>
        </w:tc>
        <w:tc>
          <w:tcPr>
            <w:tcW w:w="4819" w:type="dxa"/>
            <w:tcBorders>
              <w:top w:val="single" w:sz="4" w:space="0" w:color="auto"/>
              <w:left w:val="single" w:sz="4" w:space="0" w:color="auto"/>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 xml:space="preserve">Projekt nie spełnia wymogu § 6 pkt 2 uchwały*. Dz. nr 377/9 </w:t>
            </w:r>
            <w:proofErr w:type="spellStart"/>
            <w:r w:rsidRPr="00816D5C">
              <w:rPr>
                <w:rFonts w:eastAsia="Times New Roman" w:cs="Times New Roman"/>
                <w:color w:val="000000"/>
                <w:sz w:val="24"/>
                <w:szCs w:val="24"/>
                <w:lang w:eastAsia="pl-PL"/>
              </w:rPr>
              <w:t>obr</w:t>
            </w:r>
            <w:proofErr w:type="spellEnd"/>
            <w:r w:rsidRPr="00816D5C">
              <w:rPr>
                <w:rFonts w:eastAsia="Times New Roman" w:cs="Times New Roman"/>
                <w:color w:val="000000"/>
                <w:sz w:val="24"/>
                <w:szCs w:val="24"/>
                <w:lang w:eastAsia="pl-PL"/>
              </w:rPr>
              <w:t>. 12 jest objęta postępowaniem w sprawie zwrotu nieruchomości i postępowaniem w sprawie ustanowienia służebności przesyłu na istniejące urządzenia.</w:t>
            </w:r>
          </w:p>
        </w:tc>
      </w:tr>
      <w:tr w:rsidR="00EA4794" w:rsidRPr="00816D5C" w:rsidTr="00663123">
        <w:trPr>
          <w:trHeight w:val="2700"/>
        </w:trPr>
        <w:tc>
          <w:tcPr>
            <w:tcW w:w="500" w:type="dxa"/>
            <w:tcBorders>
              <w:top w:val="nil"/>
              <w:left w:val="single" w:sz="4" w:space="0" w:color="auto"/>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17.</w:t>
            </w:r>
          </w:p>
        </w:tc>
        <w:tc>
          <w:tcPr>
            <w:tcW w:w="2047" w:type="dxa"/>
            <w:tcBorders>
              <w:top w:val="nil"/>
              <w:left w:val="nil"/>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Festiwal Światła w Ogrodzie Pałacu Branickich</w:t>
            </w:r>
          </w:p>
        </w:tc>
        <w:tc>
          <w:tcPr>
            <w:tcW w:w="2551" w:type="dxa"/>
            <w:tcBorders>
              <w:top w:val="nil"/>
              <w:left w:val="nil"/>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Ogród Branickich</w:t>
            </w:r>
          </w:p>
        </w:tc>
        <w:tc>
          <w:tcPr>
            <w:tcW w:w="3969" w:type="dxa"/>
            <w:tcBorders>
              <w:top w:val="nil"/>
              <w:left w:val="nil"/>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Projekt zakłada organizację nocnych spektakli: muzyka, sztuka i projekcje na fasadach pałacu.</w:t>
            </w:r>
          </w:p>
        </w:tc>
        <w:tc>
          <w:tcPr>
            <w:tcW w:w="1985" w:type="dxa"/>
            <w:tcBorders>
              <w:top w:val="single" w:sz="4" w:space="0" w:color="auto"/>
              <w:left w:val="single" w:sz="4" w:space="0" w:color="auto"/>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 xml:space="preserve">             100 000,00 </w:t>
            </w:r>
          </w:p>
        </w:tc>
        <w:tc>
          <w:tcPr>
            <w:tcW w:w="4819" w:type="dxa"/>
            <w:tcBorders>
              <w:top w:val="single" w:sz="4" w:space="0" w:color="auto"/>
              <w:left w:val="single" w:sz="4" w:space="0" w:color="auto"/>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 xml:space="preserve">Projekt nie spełnia wymogu § 6 pkt 6  uchwały*. Z uwagi na to, iż miejska instytucja kultury - Dom Kultury Śródmieście organizuje cyklicznie od kilku lat w czerwcu Festiwal Barokowe Ogrody Sztuki, który identyczny charakter jak wnioskowany projekt i obejmuje wykłady, występy artystyczne, koncerty, </w:t>
            </w:r>
            <w:proofErr w:type="spellStart"/>
            <w:r w:rsidRPr="00816D5C">
              <w:rPr>
                <w:rFonts w:eastAsia="Times New Roman" w:cs="Times New Roman"/>
                <w:color w:val="000000"/>
                <w:sz w:val="24"/>
                <w:szCs w:val="24"/>
                <w:lang w:eastAsia="pl-PL"/>
              </w:rPr>
              <w:t>mapping</w:t>
            </w:r>
            <w:proofErr w:type="spellEnd"/>
            <w:r w:rsidRPr="00816D5C">
              <w:rPr>
                <w:rFonts w:eastAsia="Times New Roman" w:cs="Times New Roman"/>
                <w:color w:val="000000"/>
                <w:sz w:val="24"/>
                <w:szCs w:val="24"/>
                <w:lang w:eastAsia="pl-PL"/>
              </w:rPr>
              <w:t xml:space="preserve"> na budynkach, spacery edukacyjne, nie jest celowe finansowanie kolejnego wydarzenia o tym samym charakterze.</w:t>
            </w:r>
          </w:p>
        </w:tc>
      </w:tr>
      <w:tr w:rsidR="00EA4794" w:rsidRPr="00816D5C" w:rsidTr="002A3E36">
        <w:trPr>
          <w:trHeight w:val="7077"/>
        </w:trPr>
        <w:tc>
          <w:tcPr>
            <w:tcW w:w="500" w:type="dxa"/>
            <w:tcBorders>
              <w:top w:val="nil"/>
              <w:left w:val="single" w:sz="4" w:space="0" w:color="auto"/>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lastRenderedPageBreak/>
              <w:t>18.</w:t>
            </w:r>
          </w:p>
        </w:tc>
        <w:tc>
          <w:tcPr>
            <w:tcW w:w="2047" w:type="dxa"/>
            <w:tcBorders>
              <w:top w:val="nil"/>
              <w:left w:val="nil"/>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Mural na ul. Krakowskiej 1</w:t>
            </w:r>
          </w:p>
        </w:tc>
        <w:tc>
          <w:tcPr>
            <w:tcW w:w="2551" w:type="dxa"/>
            <w:tcBorders>
              <w:top w:val="nil"/>
              <w:left w:val="nil"/>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ul. Krakowska 1</w:t>
            </w:r>
          </w:p>
        </w:tc>
        <w:tc>
          <w:tcPr>
            <w:tcW w:w="3969" w:type="dxa"/>
            <w:tcBorders>
              <w:top w:val="nil"/>
              <w:left w:val="nil"/>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Projekt zakłada wykonanie muralu na dużej i zaniedbanej ścianie zabytkowej kamienicy. Mural przedstawiałby prace białostock</w:t>
            </w:r>
            <w:r w:rsidR="00531479" w:rsidRPr="00816D5C">
              <w:rPr>
                <w:rFonts w:eastAsia="Times New Roman" w:cs="Times New Roman"/>
                <w:color w:val="000000"/>
                <w:sz w:val="24"/>
                <w:szCs w:val="24"/>
                <w:lang w:eastAsia="pl-PL"/>
              </w:rPr>
              <w:t xml:space="preserve">iej artystki Magdaleny </w:t>
            </w:r>
            <w:proofErr w:type="spellStart"/>
            <w:r w:rsidR="00531479" w:rsidRPr="00816D5C">
              <w:rPr>
                <w:rFonts w:eastAsia="Times New Roman" w:cs="Times New Roman"/>
                <w:color w:val="000000"/>
                <w:sz w:val="24"/>
                <w:szCs w:val="24"/>
                <w:lang w:eastAsia="pl-PL"/>
              </w:rPr>
              <w:t>Talmon</w:t>
            </w:r>
            <w:proofErr w:type="spellEnd"/>
            <w:r w:rsidR="00531479" w:rsidRPr="00816D5C">
              <w:rPr>
                <w:rFonts w:eastAsia="Times New Roman" w:cs="Times New Roman"/>
                <w:color w:val="000000"/>
                <w:sz w:val="24"/>
                <w:szCs w:val="24"/>
                <w:lang w:eastAsia="pl-PL"/>
              </w:rPr>
              <w:t xml:space="preserve"> – </w:t>
            </w:r>
            <w:r w:rsidRPr="00816D5C">
              <w:rPr>
                <w:rFonts w:eastAsia="Times New Roman" w:cs="Times New Roman"/>
                <w:color w:val="000000"/>
                <w:sz w:val="24"/>
                <w:szCs w:val="24"/>
                <w:lang w:eastAsia="pl-PL"/>
              </w:rPr>
              <w:t>wizerunek pięknej kobiety wschodu.</w:t>
            </w:r>
          </w:p>
        </w:tc>
        <w:tc>
          <w:tcPr>
            <w:tcW w:w="1985" w:type="dxa"/>
            <w:tcBorders>
              <w:top w:val="single" w:sz="4" w:space="0" w:color="auto"/>
              <w:left w:val="single" w:sz="4" w:space="0" w:color="auto"/>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 xml:space="preserve">             100 000,00 </w:t>
            </w:r>
          </w:p>
        </w:tc>
        <w:tc>
          <w:tcPr>
            <w:tcW w:w="4819" w:type="dxa"/>
            <w:tcBorders>
              <w:top w:val="single" w:sz="4" w:space="0" w:color="auto"/>
              <w:left w:val="single" w:sz="4" w:space="0" w:color="auto"/>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 xml:space="preserve">Projekt nie spełnia wymogu § 6 pkt 6  uchwały*. Kamienica Ginzburga została wpisana do rejestru zabytków nieruchomych decyzją Wojewódzkiego Konserwatora Zabytków.  Jest świadectwem dynamicznie rozwijającego się w XIX w na terenie miasta i okolic przemysłu włókienniczego. Pierwotnie posiadała bardzo bogaty wystrój zewnętrzny, utracony podczas niewłaściwie prowadzonych remontów elewacji pozbawionych działań konserwatorskich i restauratorskich. Kamienica jest jedną z nielicznych ocalałych po zniszczeniach II wojny światowej w Białymstoku. Argumentacja projektu stanowi wystarczający przyczynek do objęcia remontem nie tylko wskazanej ściany, ale całej kamienicy przy ul. Krakowskiej 1. Właściwie przeprowadzone prace konserwatorskie spowodują, że kamienica sama w sobie bez dodatkowych dzieł poprawi wizerunek miasta. Miejski Konserwator Zabytków negatywnie opiniuje projekt. W przestrzeni Białegostoku znajdują się inne ściany pozbawione otworów, często zaniedbane, na których możliwe są podobne działania twórcze. Należy mieć jednak na uwadze, że nadmiar podobnych elementów prowadzi do zjawiska </w:t>
            </w:r>
            <w:proofErr w:type="spellStart"/>
            <w:r w:rsidRPr="00816D5C">
              <w:rPr>
                <w:rFonts w:eastAsia="Times New Roman" w:cs="Times New Roman"/>
                <w:color w:val="000000"/>
                <w:sz w:val="24"/>
                <w:szCs w:val="24"/>
                <w:lang w:eastAsia="pl-PL"/>
              </w:rPr>
              <w:t>muralozy</w:t>
            </w:r>
            <w:proofErr w:type="spellEnd"/>
            <w:r w:rsidRPr="00816D5C">
              <w:rPr>
                <w:rFonts w:eastAsia="Times New Roman" w:cs="Times New Roman"/>
                <w:color w:val="000000"/>
                <w:sz w:val="24"/>
                <w:szCs w:val="24"/>
                <w:lang w:eastAsia="pl-PL"/>
              </w:rPr>
              <w:t xml:space="preserve">, które działa podobnie negatywnie jak </w:t>
            </w:r>
            <w:proofErr w:type="spellStart"/>
            <w:r w:rsidRPr="00816D5C">
              <w:rPr>
                <w:rFonts w:eastAsia="Times New Roman" w:cs="Times New Roman"/>
                <w:color w:val="000000"/>
                <w:sz w:val="24"/>
                <w:szCs w:val="24"/>
                <w:lang w:eastAsia="pl-PL"/>
              </w:rPr>
              <w:t>pasteloza</w:t>
            </w:r>
            <w:proofErr w:type="spellEnd"/>
            <w:r w:rsidRPr="00816D5C">
              <w:rPr>
                <w:rFonts w:eastAsia="Times New Roman" w:cs="Times New Roman"/>
                <w:color w:val="000000"/>
                <w:sz w:val="24"/>
                <w:szCs w:val="24"/>
                <w:lang w:eastAsia="pl-PL"/>
              </w:rPr>
              <w:t xml:space="preserve"> związana z kolorystyką budynków, czy </w:t>
            </w:r>
            <w:proofErr w:type="spellStart"/>
            <w:r w:rsidRPr="00816D5C">
              <w:rPr>
                <w:rFonts w:eastAsia="Times New Roman" w:cs="Times New Roman"/>
                <w:color w:val="000000"/>
                <w:sz w:val="24"/>
                <w:szCs w:val="24"/>
                <w:lang w:eastAsia="pl-PL"/>
              </w:rPr>
              <w:t>betonoza</w:t>
            </w:r>
            <w:proofErr w:type="spellEnd"/>
            <w:r w:rsidRPr="00816D5C">
              <w:rPr>
                <w:rFonts w:eastAsia="Times New Roman" w:cs="Times New Roman"/>
                <w:color w:val="000000"/>
                <w:sz w:val="24"/>
                <w:szCs w:val="24"/>
                <w:lang w:eastAsia="pl-PL"/>
              </w:rPr>
              <w:t xml:space="preserve"> - związana z nieuzasadnionym utwardzaniem nawierzchni.</w:t>
            </w:r>
          </w:p>
        </w:tc>
      </w:tr>
      <w:tr w:rsidR="00EA4794" w:rsidRPr="00816D5C" w:rsidTr="00663123">
        <w:trPr>
          <w:trHeight w:val="794"/>
        </w:trPr>
        <w:tc>
          <w:tcPr>
            <w:tcW w:w="500" w:type="dxa"/>
            <w:tcBorders>
              <w:top w:val="nil"/>
              <w:left w:val="single" w:sz="4" w:space="0" w:color="auto"/>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lastRenderedPageBreak/>
              <w:t>19.</w:t>
            </w:r>
          </w:p>
        </w:tc>
        <w:tc>
          <w:tcPr>
            <w:tcW w:w="2047" w:type="dxa"/>
            <w:tcBorders>
              <w:top w:val="nil"/>
              <w:left w:val="nil"/>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proofErr w:type="spellStart"/>
            <w:r w:rsidRPr="00816D5C">
              <w:rPr>
                <w:rFonts w:eastAsia="Times New Roman" w:cs="Times New Roman"/>
                <w:color w:val="000000"/>
                <w:sz w:val="24"/>
                <w:szCs w:val="24"/>
                <w:lang w:eastAsia="pl-PL"/>
              </w:rPr>
              <w:t>Rolkowisko</w:t>
            </w:r>
            <w:proofErr w:type="spellEnd"/>
            <w:r w:rsidRPr="00816D5C">
              <w:rPr>
                <w:rFonts w:eastAsia="Times New Roman" w:cs="Times New Roman"/>
                <w:color w:val="000000"/>
                <w:sz w:val="24"/>
                <w:szCs w:val="24"/>
                <w:lang w:eastAsia="pl-PL"/>
              </w:rPr>
              <w:t xml:space="preserve"> Chodź na rolki - plac do jazdy na rolkach</w:t>
            </w:r>
          </w:p>
        </w:tc>
        <w:tc>
          <w:tcPr>
            <w:tcW w:w="2551" w:type="dxa"/>
            <w:tcBorders>
              <w:top w:val="nil"/>
              <w:left w:val="nil"/>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ul. Pogodna</w:t>
            </w:r>
          </w:p>
        </w:tc>
        <w:tc>
          <w:tcPr>
            <w:tcW w:w="3969" w:type="dxa"/>
            <w:tcBorders>
              <w:top w:val="nil"/>
              <w:left w:val="nil"/>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Projekt zakłada budowę kompleksu sportowego składającego się z toru w formie pętli oraz placu.</w:t>
            </w:r>
          </w:p>
        </w:tc>
        <w:tc>
          <w:tcPr>
            <w:tcW w:w="1985" w:type="dxa"/>
            <w:tcBorders>
              <w:top w:val="single" w:sz="4" w:space="0" w:color="auto"/>
              <w:left w:val="single" w:sz="4" w:space="0" w:color="auto"/>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 xml:space="preserve">          1 735 000,00 </w:t>
            </w:r>
          </w:p>
        </w:tc>
        <w:tc>
          <w:tcPr>
            <w:tcW w:w="4819" w:type="dxa"/>
            <w:tcBorders>
              <w:top w:val="single" w:sz="4" w:space="0" w:color="auto"/>
              <w:left w:val="single" w:sz="4" w:space="0" w:color="auto"/>
              <w:bottom w:val="single" w:sz="4" w:space="0" w:color="auto"/>
              <w:right w:val="single" w:sz="4" w:space="0" w:color="auto"/>
            </w:tcBorders>
            <w:shd w:val="clear" w:color="000000" w:fill="FFFFFF"/>
            <w:hideMark/>
          </w:tcPr>
          <w:p w:rsidR="00EA4794" w:rsidRPr="00816D5C" w:rsidRDefault="00EA4794" w:rsidP="000F282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 xml:space="preserve">Projekt nie spełnia wymogu § 6 pkt 2 uchwały*. Działki nr 184/70 i 184/76 </w:t>
            </w:r>
            <w:proofErr w:type="spellStart"/>
            <w:r w:rsidRPr="00816D5C">
              <w:rPr>
                <w:rFonts w:eastAsia="Times New Roman" w:cs="Times New Roman"/>
                <w:color w:val="000000"/>
                <w:sz w:val="24"/>
                <w:szCs w:val="24"/>
                <w:lang w:eastAsia="pl-PL"/>
              </w:rPr>
              <w:t>obr</w:t>
            </w:r>
            <w:proofErr w:type="spellEnd"/>
            <w:r w:rsidRPr="00816D5C">
              <w:rPr>
                <w:rFonts w:eastAsia="Times New Roman" w:cs="Times New Roman"/>
                <w:color w:val="000000"/>
                <w:sz w:val="24"/>
                <w:szCs w:val="24"/>
                <w:lang w:eastAsia="pl-PL"/>
              </w:rPr>
              <w:t xml:space="preserve">. 8 objęte są postępowaniami zwrotowymi. Jedno z postępowań jest zawieszone, w związku z tym nie ma perspektywy na szybkie zakończenie sprawy. </w:t>
            </w:r>
          </w:p>
        </w:tc>
      </w:tr>
    </w:tbl>
    <w:p w:rsidR="002D57C1" w:rsidRPr="00B51F6C" w:rsidRDefault="002D57C1" w:rsidP="000F2823">
      <w:pPr>
        <w:spacing w:after="0"/>
      </w:pPr>
    </w:p>
    <w:tbl>
      <w:tblPr>
        <w:tblW w:w="15960" w:type="dxa"/>
        <w:tblCellMar>
          <w:left w:w="70" w:type="dxa"/>
          <w:right w:w="70" w:type="dxa"/>
        </w:tblCellMar>
        <w:tblLook w:val="04A0" w:firstRow="1" w:lastRow="0" w:firstColumn="1" w:lastColumn="0" w:noHBand="0" w:noVBand="1"/>
      </w:tblPr>
      <w:tblGrid>
        <w:gridCol w:w="15960"/>
      </w:tblGrid>
      <w:tr w:rsidR="003333FF" w:rsidRPr="00B51F6C" w:rsidTr="003333FF">
        <w:trPr>
          <w:trHeight w:val="300"/>
        </w:trPr>
        <w:tc>
          <w:tcPr>
            <w:tcW w:w="15960" w:type="dxa"/>
            <w:shd w:val="clear" w:color="000000" w:fill="FFFFFF"/>
            <w:hideMark/>
          </w:tcPr>
          <w:p w:rsidR="003333FF" w:rsidRPr="00B51F6C" w:rsidRDefault="003333FF" w:rsidP="000F2823">
            <w:pPr>
              <w:spacing w:after="0" w:line="240" w:lineRule="auto"/>
              <w:rPr>
                <w:rFonts w:eastAsia="Times New Roman" w:cs="Times New Roman"/>
                <w:color w:val="000000"/>
                <w:lang w:eastAsia="pl-PL"/>
              </w:rPr>
            </w:pPr>
            <w:r w:rsidRPr="00B51F6C">
              <w:rPr>
                <w:rFonts w:eastAsia="Times New Roman" w:cs="Times New Roman"/>
                <w:color w:val="000000"/>
                <w:lang w:eastAsia="pl-PL"/>
              </w:rPr>
              <w:t>* Uchwała Nr XIX/318/20 Rady Miasta Białystok z dnia 15 stycznia 2020 r. w sprawie konsultacji społecznych z mieszkańcami Miasta Białegostoku dotyczących budżetu obywatelskiego</w:t>
            </w:r>
          </w:p>
        </w:tc>
      </w:tr>
      <w:tr w:rsidR="003333FF" w:rsidRPr="00B51F6C" w:rsidTr="003333FF">
        <w:trPr>
          <w:trHeight w:val="300"/>
        </w:trPr>
        <w:tc>
          <w:tcPr>
            <w:tcW w:w="15960" w:type="dxa"/>
            <w:shd w:val="clear" w:color="000000" w:fill="FFFFFF"/>
            <w:noWrap/>
            <w:hideMark/>
          </w:tcPr>
          <w:p w:rsidR="003333FF" w:rsidRPr="00B51F6C" w:rsidRDefault="003333FF" w:rsidP="000F2823">
            <w:pPr>
              <w:spacing w:after="0" w:line="240" w:lineRule="auto"/>
              <w:rPr>
                <w:rFonts w:eastAsia="Times New Roman" w:cs="Times New Roman"/>
                <w:color w:val="000000"/>
                <w:lang w:eastAsia="pl-PL"/>
              </w:rPr>
            </w:pPr>
            <w:r w:rsidRPr="00B51F6C">
              <w:rPr>
                <w:rFonts w:eastAsia="Times New Roman" w:cs="Times New Roman"/>
                <w:color w:val="000000"/>
                <w:lang w:eastAsia="pl-PL"/>
              </w:rPr>
              <w:t>** Zarządzenie Nr 132/24 Prezydenta Miasta Białegostoku z dnia 12 lutego 2024 r. w sprawie szczegółowych warunków budżetu obywatelskiego w Białymstoku na 2025 rok</w:t>
            </w:r>
          </w:p>
        </w:tc>
      </w:tr>
    </w:tbl>
    <w:p w:rsidR="003333FF" w:rsidRPr="00B51F6C" w:rsidRDefault="003333FF" w:rsidP="000F2823"/>
    <w:sectPr w:rsidR="003333FF" w:rsidRPr="00B51F6C" w:rsidSect="00EA4794">
      <w:pgSz w:w="16838" w:h="11906" w:orient="landscape"/>
      <w:pgMar w:top="1134" w:right="567" w:bottom="113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7C1"/>
    <w:rsid w:val="00056278"/>
    <w:rsid w:val="000F2823"/>
    <w:rsid w:val="001C7236"/>
    <w:rsid w:val="00244032"/>
    <w:rsid w:val="002A3E36"/>
    <w:rsid w:val="002D57C1"/>
    <w:rsid w:val="003333FF"/>
    <w:rsid w:val="00531479"/>
    <w:rsid w:val="0062415D"/>
    <w:rsid w:val="00663123"/>
    <w:rsid w:val="006A2975"/>
    <w:rsid w:val="00816D5C"/>
    <w:rsid w:val="00B51F6C"/>
    <w:rsid w:val="00BD0303"/>
    <w:rsid w:val="00CD1618"/>
    <w:rsid w:val="00E16AEE"/>
    <w:rsid w:val="00EA4794"/>
    <w:rsid w:val="00EC4C4D"/>
    <w:rsid w:val="00F75C43"/>
    <w:rsid w:val="00F776D6"/>
    <w:rsid w:val="00FD711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B62085-3275-4866-ACDE-45AD4A0CD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1340965">
      <w:bodyDiv w:val="1"/>
      <w:marLeft w:val="0"/>
      <w:marRight w:val="0"/>
      <w:marTop w:val="0"/>
      <w:marBottom w:val="0"/>
      <w:divBdr>
        <w:top w:val="none" w:sz="0" w:space="0" w:color="auto"/>
        <w:left w:val="none" w:sz="0" w:space="0" w:color="auto"/>
        <w:bottom w:val="none" w:sz="0" w:space="0" w:color="auto"/>
        <w:right w:val="none" w:sz="0" w:space="0" w:color="auto"/>
      </w:divBdr>
    </w:div>
    <w:div w:id="1635405354">
      <w:bodyDiv w:val="1"/>
      <w:marLeft w:val="0"/>
      <w:marRight w:val="0"/>
      <w:marTop w:val="0"/>
      <w:marBottom w:val="0"/>
      <w:divBdr>
        <w:top w:val="none" w:sz="0" w:space="0" w:color="auto"/>
        <w:left w:val="none" w:sz="0" w:space="0" w:color="auto"/>
        <w:bottom w:val="none" w:sz="0" w:space="0" w:color="auto"/>
        <w:right w:val="none" w:sz="0" w:space="0" w:color="auto"/>
      </w:divBdr>
    </w:div>
    <w:div w:id="1689402683">
      <w:bodyDiv w:val="1"/>
      <w:marLeft w:val="0"/>
      <w:marRight w:val="0"/>
      <w:marTop w:val="0"/>
      <w:marBottom w:val="0"/>
      <w:divBdr>
        <w:top w:val="none" w:sz="0" w:space="0" w:color="auto"/>
        <w:left w:val="none" w:sz="0" w:space="0" w:color="auto"/>
        <w:bottom w:val="none" w:sz="0" w:space="0" w:color="auto"/>
        <w:right w:val="none" w:sz="0" w:space="0" w:color="auto"/>
      </w:divBdr>
    </w:div>
    <w:div w:id="2084832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11</Pages>
  <Words>2370</Words>
  <Characters>14226</Characters>
  <Application>Microsoft Office Word</Application>
  <DocSecurity>0</DocSecurity>
  <Lines>118</Lines>
  <Paragraphs>33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systemu Windows</dc:creator>
  <cp:keywords/>
  <dc:description/>
  <cp:lastModifiedBy>Użytkownik systemu Windows</cp:lastModifiedBy>
  <cp:revision>12</cp:revision>
  <dcterms:created xsi:type="dcterms:W3CDTF">2024-08-01T12:13:00Z</dcterms:created>
  <dcterms:modified xsi:type="dcterms:W3CDTF">2024-08-22T11:00:00Z</dcterms:modified>
</cp:coreProperties>
</file>