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9B" w:rsidRDefault="00622C9B" w:rsidP="005C3E83">
      <w:pPr>
        <w:pStyle w:val="NormalnyWeb"/>
        <w:pageBreakBefore/>
        <w:spacing w:after="0"/>
        <w:rPr>
          <w:b/>
          <w:bCs/>
          <w:sz w:val="28"/>
        </w:rPr>
      </w:pPr>
      <w:r>
        <w:rPr>
          <w:b/>
          <w:bCs/>
          <w:sz w:val="28"/>
        </w:rPr>
        <w:t>REGULAMIN</w:t>
      </w:r>
    </w:p>
    <w:p w:rsidR="00622C9B" w:rsidRDefault="00622C9B" w:rsidP="005C3E83">
      <w:pPr>
        <w:pStyle w:val="NormalnyWeb"/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postępowania z osobami doprowadzonymi </w:t>
      </w:r>
      <w:r>
        <w:rPr>
          <w:b/>
          <w:bCs/>
          <w:sz w:val="28"/>
        </w:rPr>
        <w:br/>
        <w:t>do Izby Wytrzeźwień w Białymstoku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 xml:space="preserve">I. </w:t>
      </w:r>
      <w:r>
        <w:rPr>
          <w:b/>
          <w:bCs/>
          <w:iCs/>
        </w:rPr>
        <w:t>Zasady ogólne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>§ 1.</w:t>
      </w:r>
      <w:r>
        <w:t xml:space="preserve"> Izba Wytrzeźwień w Białymstoku zwana w dalszej części Izbą działa na podstawie:</w:t>
      </w:r>
    </w:p>
    <w:p w:rsidR="00622C9B" w:rsidRDefault="00622C9B" w:rsidP="005C3E83">
      <w:pPr>
        <w:pStyle w:val="NormalnyWeb"/>
        <w:numPr>
          <w:ilvl w:val="0"/>
          <w:numId w:val="1"/>
        </w:numPr>
        <w:spacing w:beforeAutospacing="0" w:after="0"/>
      </w:pPr>
      <w:r>
        <w:t xml:space="preserve">Uchwały Nr XXXV/171 Prezydium Miejskiej Rady Narodowej z dnia 22.10.1957r. </w:t>
      </w:r>
      <w:r>
        <w:br/>
        <w:t>w sprawie uruchomienia Izby Wytrzeźwień w Białymstoku;</w:t>
      </w:r>
    </w:p>
    <w:p w:rsidR="00622C9B" w:rsidRDefault="00622C9B" w:rsidP="005C3E83">
      <w:pPr>
        <w:pStyle w:val="NormalnyWeb"/>
        <w:numPr>
          <w:ilvl w:val="0"/>
          <w:numId w:val="1"/>
        </w:numPr>
        <w:spacing w:beforeAutospacing="0" w:after="0"/>
      </w:pPr>
      <w:r>
        <w:t xml:space="preserve">Ustawy z dnia 26 października 1982r. o wychowaniu w trzeźwości </w:t>
      </w:r>
      <w:r>
        <w:br/>
        <w:t xml:space="preserve">i przeciwdziałaniu alkoholizmowi (Dz.U. z 2019r.  poz. 2277 ze zm.) </w:t>
      </w:r>
    </w:p>
    <w:p w:rsidR="00622C9B" w:rsidRDefault="00622C9B" w:rsidP="005C3E83">
      <w:pPr>
        <w:pStyle w:val="NormalnyWeb"/>
        <w:numPr>
          <w:ilvl w:val="0"/>
          <w:numId w:val="1"/>
        </w:numPr>
        <w:spacing w:beforeAutospacing="0" w:after="0"/>
      </w:pPr>
      <w:r>
        <w:t>Rozporządzenia Ministra Zdrowia z dnia 8 grudnia 2014r. w sprawie izb wytrzeźwień i placówek wskazanych lub utworzonych przez jednostkę samorządu terytorialnego (Dz.U. z 2014r. poz. 1850 ze zm.);</w:t>
      </w:r>
    </w:p>
    <w:p w:rsidR="00622C9B" w:rsidRDefault="00622C9B" w:rsidP="005C3E83">
      <w:pPr>
        <w:pStyle w:val="NormalnyWeb"/>
        <w:numPr>
          <w:ilvl w:val="0"/>
          <w:numId w:val="1"/>
        </w:numPr>
        <w:spacing w:beforeAutospacing="0" w:after="0"/>
      </w:pPr>
      <w:r>
        <w:t>Uchwały Nr X/117/15 Rady Miasta Białystok z dnia 22 czerwca 2015r. w sprawie nadania statutu Izbie Wytrzeźwień w Białymstoku (</w:t>
      </w:r>
      <w:proofErr w:type="spellStart"/>
      <w:r>
        <w:t>Dz.Urzędowy</w:t>
      </w:r>
      <w:proofErr w:type="spellEnd"/>
      <w:r>
        <w:t xml:space="preserve"> Województwa Podlaskiego z dnia 01 lipca 2015r. poz. 2204).;</w:t>
      </w:r>
    </w:p>
    <w:p w:rsidR="00622C9B" w:rsidRDefault="00622C9B" w:rsidP="005C3E83">
      <w:pPr>
        <w:pStyle w:val="NormalnyWeb"/>
        <w:numPr>
          <w:ilvl w:val="0"/>
          <w:numId w:val="1"/>
        </w:numPr>
        <w:spacing w:beforeAutospacing="0" w:after="0"/>
      </w:pPr>
      <w:r>
        <w:t xml:space="preserve">Zarządzenia Nr 1515/17 Prezydenta Miasta Białegostoku z dnia 19 grudnia 2017r. </w:t>
      </w:r>
      <w:r>
        <w:br/>
        <w:t xml:space="preserve">w sprawie zatwierdzenia Regulaminu organizacyjnego Izby Wytrzeźwień </w:t>
      </w:r>
      <w:r>
        <w:br/>
        <w:t>w Białymstoku.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>§ 2.</w:t>
      </w:r>
      <w:r>
        <w:t xml:space="preserve"> Przedmiotem działania Izby jest zapewnienie osobom przyjętym opieki do czasu wytrzeźwienia, ochrony, bezpieczeństwa oraz stosowanie zabiegów higieniczno – sanitarnych, przez okres nie dłuższy niż 24 godziny.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 xml:space="preserve">§ 3. </w:t>
      </w:r>
      <w:r>
        <w:t>W pomieszczeniach Izby, w których znajdują się osoby nietrzeźwe nie wolno przebywać osobom niezwiązanym z ich obsługą.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>§  4.</w:t>
      </w:r>
      <w:r>
        <w:t xml:space="preserve"> Za pobyt w Izbie od osoby przyjętej pobierana jest opłata.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 xml:space="preserve">II. </w:t>
      </w:r>
      <w:r>
        <w:rPr>
          <w:b/>
          <w:bCs/>
          <w:iCs/>
        </w:rPr>
        <w:t>Przyjmowanie do Izby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 xml:space="preserve">§ 5. </w:t>
      </w:r>
      <w:r>
        <w:t>Do Izby przyjmowane są osoby będące w stanie nietrzeźwości, które swoim zachowaniem dają powód do zgorszenia w miejscu publicznym lub zakładzie pracy, znajdują się w okolicznościach zagrażających ich życiu lub zdrowiu, albo zagrażają życiu lub zdrowiu innych osób.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>§ 6</w:t>
      </w:r>
      <w:r>
        <w:t xml:space="preserve">.1. Osoby w stanie nietrzeźwym mogą być doprowadzone do Izby przez funkcjonariuszy Policji lub Straży Miejskiej. </w:t>
      </w:r>
    </w:p>
    <w:p w:rsidR="00622C9B" w:rsidRDefault="00622C9B" w:rsidP="005C3E83">
      <w:pPr>
        <w:pStyle w:val="NormalnyWeb"/>
        <w:spacing w:after="0"/>
      </w:pPr>
      <w:r>
        <w:t>2. Fakty, o których mowa w § 5, stanowiące podstawę przyjęcia osoby do Izby muszą być opisane przez doprowadzającego funkcjonariusza w protokole doprowadzenia, którego kopia zostaje dołączona do dokumentacji dotyczącej pobytu w Izbie.</w:t>
      </w:r>
    </w:p>
    <w:p w:rsidR="00622C9B" w:rsidRDefault="00622C9B" w:rsidP="005C3E83">
      <w:pPr>
        <w:pStyle w:val="NormalnyWeb"/>
        <w:spacing w:after="0"/>
      </w:pPr>
      <w:r>
        <w:t>3. Osoba małoletnia, doprowadzona do Izby, może być zwolniona, po udzieleniu niezbędnych świadczeń zdrowotnych, na pisemny wniosek rodziców lub opiekunów.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lastRenderedPageBreak/>
        <w:t>§ 7.</w:t>
      </w:r>
      <w:r>
        <w:t>1. Osoba doprowadzona do Izby poddawana jest niezwłocznie badaniu lekarskiemu, którego opis lekarz umieszcza w karcie badania osoby doprowadzonej.</w:t>
      </w:r>
    </w:p>
    <w:p w:rsidR="00622C9B" w:rsidRDefault="00622C9B" w:rsidP="005C3E83">
      <w:pPr>
        <w:pStyle w:val="NormalnyWeb"/>
        <w:spacing w:after="0"/>
      </w:pPr>
      <w:r>
        <w:t xml:space="preserve">2. Podstawą przyjęcia osoby doprowadzonej do Izby jest wynik badania zawartości alkoholu w wydychanym powietrzu (powyżej 0,24 mg/l), przeprowadzony za jej zgodą, potwierdzony wydrukiem z atestowanego alkomatu (załączanym do karty ewidencyjnej) lub decyzja lekarza podejmowana z racji występowania symptomów stanu nietrzeźwości (w przypadku odmowy poddania się badaniu alkomatem). </w:t>
      </w:r>
    </w:p>
    <w:p w:rsidR="00622C9B" w:rsidRDefault="00622C9B" w:rsidP="005C3E83">
      <w:pPr>
        <w:pStyle w:val="NormalnyWeb"/>
        <w:spacing w:after="0"/>
      </w:pPr>
      <w:r>
        <w:t>3. O przyjęciu do Izby powiadamia się niezwłocznie:</w:t>
      </w:r>
    </w:p>
    <w:p w:rsidR="00622C9B" w:rsidRDefault="00622C9B" w:rsidP="005C3E83">
      <w:pPr>
        <w:pStyle w:val="NormalnyWeb"/>
        <w:spacing w:after="0"/>
      </w:pPr>
      <w:r>
        <w:t>a) w przypadku małoletnich -  rodziców lub opiekunów oraz sąd opiekuńczy;</w:t>
      </w:r>
    </w:p>
    <w:p w:rsidR="00622C9B" w:rsidRDefault="00622C9B" w:rsidP="005C3E83">
      <w:pPr>
        <w:pStyle w:val="NormalnyWeb"/>
        <w:spacing w:after="0"/>
      </w:pPr>
      <w:r>
        <w:t xml:space="preserve">b) w przypadku innych osób – na ich żądanie, osoby wskazane przez przyjętych. 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>§  8.</w:t>
      </w:r>
      <w:r>
        <w:t>1. W razie stwierdzenia u osoby doprowadzonej:</w:t>
      </w:r>
    </w:p>
    <w:p w:rsidR="00622C9B" w:rsidRDefault="00622C9B" w:rsidP="005C3E83">
      <w:pPr>
        <w:pStyle w:val="NormalnyWeb"/>
        <w:spacing w:beforeAutospacing="0" w:after="0"/>
        <w:ind w:left="363"/>
      </w:pPr>
      <w:r>
        <w:t>a) uszkodzenia ciała;</w:t>
      </w:r>
    </w:p>
    <w:p w:rsidR="00622C9B" w:rsidRDefault="00622C9B" w:rsidP="005C3E83">
      <w:pPr>
        <w:pStyle w:val="NormalnyWeb"/>
        <w:spacing w:beforeAutospacing="0" w:after="0"/>
        <w:ind w:left="363"/>
      </w:pPr>
      <w:r>
        <w:t>b) posiadania broni;</w:t>
      </w:r>
    </w:p>
    <w:p w:rsidR="00622C9B" w:rsidRDefault="00622C9B" w:rsidP="005C3E83">
      <w:pPr>
        <w:pStyle w:val="NormalnyWeb"/>
        <w:spacing w:beforeAutospacing="0" w:after="0"/>
        <w:ind w:left="363"/>
      </w:pPr>
      <w:r>
        <w:t>c) posiadania narzędzi lub innych przedmiotów, co do których może zachodzić przypuszczenie, że służyły lub mogą być przeznaczone do popełnienia przestępstwa,</w:t>
      </w:r>
      <w:r>
        <w:br/>
        <w:t xml:space="preserve">albo pochodzą z przestępstwa lub zaistnienia innych okoliczności uzasadniających podejrzenie, że popełniono przestępstwo – </w:t>
      </w:r>
    </w:p>
    <w:p w:rsidR="00622C9B" w:rsidRDefault="00622C9B" w:rsidP="005C3E83">
      <w:pPr>
        <w:pStyle w:val="NormalnyWeb"/>
        <w:spacing w:beforeAutospacing="0" w:after="0"/>
        <w:ind w:left="363"/>
      </w:pPr>
      <w:r>
        <w:t>lekarz zawiadamia oficera dyżurnego Komendy Miejskiej Policji w Białymstoku, informując do kiedy osoba będzie przebywała w Izbie.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>§  9.</w:t>
      </w:r>
      <w:r>
        <w:t>1. Lekarz podejmuje decyzję o odmowie przyjęcia osoby doprowadzonej, jeżeli:</w:t>
      </w:r>
    </w:p>
    <w:p w:rsidR="00622C9B" w:rsidRDefault="00622C9B" w:rsidP="005C3E83">
      <w:pPr>
        <w:pStyle w:val="NormalnyWeb"/>
        <w:numPr>
          <w:ilvl w:val="0"/>
          <w:numId w:val="2"/>
        </w:numPr>
        <w:spacing w:beforeAutospacing="0" w:after="0"/>
      </w:pPr>
      <w:r>
        <w:t>wynik badania alkomatem nie wykazuje jej stanu nietrzeźwości;</w:t>
      </w:r>
    </w:p>
    <w:p w:rsidR="00622C9B" w:rsidRDefault="00622C9B" w:rsidP="005C3E83">
      <w:pPr>
        <w:pStyle w:val="NormalnyWeb"/>
        <w:numPr>
          <w:ilvl w:val="0"/>
          <w:numId w:val="2"/>
        </w:numPr>
        <w:spacing w:beforeAutospacing="0" w:after="0"/>
      </w:pPr>
      <w:r>
        <w:t>brak jest symptomów nietrzeźwości;</w:t>
      </w:r>
    </w:p>
    <w:p w:rsidR="00622C9B" w:rsidRDefault="00622C9B" w:rsidP="005C3E83">
      <w:pPr>
        <w:pStyle w:val="NormalnyWeb"/>
        <w:numPr>
          <w:ilvl w:val="0"/>
          <w:numId w:val="2"/>
        </w:numPr>
        <w:spacing w:beforeAutospacing="0" w:after="0"/>
      </w:pPr>
      <w:r>
        <w:t>stan jej zdrowia wymaga konieczności skierowania do podmiotu leczniczego;</w:t>
      </w:r>
    </w:p>
    <w:p w:rsidR="00622C9B" w:rsidRDefault="00622C9B" w:rsidP="005C3E83">
      <w:pPr>
        <w:pStyle w:val="NormalnyWeb"/>
        <w:numPr>
          <w:ilvl w:val="0"/>
          <w:numId w:val="2"/>
        </w:numPr>
        <w:spacing w:beforeAutospacing="0" w:after="0"/>
      </w:pPr>
      <w:r>
        <w:t>brak jest wolnych miejsc w Izbie.</w:t>
      </w:r>
    </w:p>
    <w:p w:rsidR="00622C9B" w:rsidRDefault="00622C9B" w:rsidP="005C3E83">
      <w:pPr>
        <w:pStyle w:val="NormalnyWeb"/>
        <w:spacing w:after="0"/>
      </w:pPr>
      <w:r>
        <w:t xml:space="preserve">2. W przypadkach określonych w ust. 1 lekarz stosuje przed opuszczeniem Izby przez osobę doprowadzoną zabiegi, które ze względu na stan jej zdrowia są konieczne i możliwe </w:t>
      </w:r>
      <w:r>
        <w:br/>
        <w:t>do wykonania w Izbie.</w:t>
      </w:r>
    </w:p>
    <w:p w:rsidR="00622C9B" w:rsidRDefault="00622C9B" w:rsidP="005C3E83">
      <w:pPr>
        <w:pStyle w:val="NormalnyWeb"/>
        <w:spacing w:after="0"/>
      </w:pPr>
      <w:r>
        <w:t xml:space="preserve">3. O braku wolnych miejsc w Izbie lekarz powiadamia niezwłocznie oficera dyżurnego Komendy Miejskiej Policji i Straży Miejskiej. </w:t>
      </w:r>
    </w:p>
    <w:p w:rsidR="00622C9B" w:rsidRDefault="00622C9B" w:rsidP="005C3E83">
      <w:pPr>
        <w:pStyle w:val="NormalnyWeb"/>
        <w:spacing w:after="0"/>
      </w:pPr>
      <w:r>
        <w:t>4. Jeśli osoba doprowadzona do Izby jest żołnierzem, przekazuje się ją Żandarmerii Wojskowej lub wojskowemu organowi porządkowemu.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>§ 10.</w:t>
      </w:r>
      <w:r>
        <w:t xml:space="preserve">1. Od osób przyjętych do Izby odbiera się na czas ich pobytu depozyt wartościowy </w:t>
      </w:r>
      <w:r>
        <w:br/>
        <w:t>i ubraniowy.</w:t>
      </w:r>
    </w:p>
    <w:p w:rsidR="00622C9B" w:rsidRDefault="00622C9B" w:rsidP="005C3E83">
      <w:pPr>
        <w:pStyle w:val="NormalnyWeb"/>
        <w:spacing w:after="0"/>
      </w:pPr>
      <w:r>
        <w:t>2. Osobie doprowadzonej przy rozbieraniu się towarzyszy opiekun/porządkowa. Zdjęte ubranie jest przez niego/nią przeszukiwane w obecności doprowadzającego, a znajdujące się w nim wartościowe przedmioty wykładane na stolik w holu przyjęć.</w:t>
      </w:r>
    </w:p>
    <w:p w:rsidR="00622C9B" w:rsidRDefault="00622C9B" w:rsidP="005C3E83">
      <w:pPr>
        <w:pStyle w:val="NormalnyWeb"/>
        <w:spacing w:after="0"/>
      </w:pPr>
      <w:r>
        <w:lastRenderedPageBreak/>
        <w:t>3. Doprowadzający sporządza protokół doprowadzenia, opiekun/porządkowa dokonuje spisu zawartości depozytu ubraniowego i składa podpis w karcie depozytowej.</w:t>
      </w:r>
    </w:p>
    <w:p w:rsidR="00622C9B" w:rsidRDefault="00622C9B" w:rsidP="005C3E83">
      <w:pPr>
        <w:spacing w:after="200" w:line="276" w:lineRule="auto"/>
      </w:pPr>
    </w:p>
    <w:p w:rsidR="00622C9B" w:rsidRDefault="00622C9B" w:rsidP="005C3E83">
      <w:pPr>
        <w:spacing w:after="200" w:line="276" w:lineRule="auto"/>
        <w:rPr>
          <w:rFonts w:eastAsia="Calibri"/>
          <w:lang w:eastAsia="en-US"/>
        </w:rPr>
      </w:pPr>
      <w:r>
        <w:t>4.</w:t>
      </w:r>
      <w:r>
        <w:rPr>
          <w:i/>
        </w:rPr>
        <w:t xml:space="preserve"> </w:t>
      </w:r>
      <w:r>
        <w:rPr>
          <w:rFonts w:eastAsia="Calibri"/>
          <w:lang w:eastAsia="en-US"/>
        </w:rPr>
        <w:t>Depozyt ubraniowy opiekun/porządkowa wiesza na wieszaku lub składa do worka depozytowego, buty zabezpiecza oddzielnym workiem, oznakowuje worek i umieszcza</w:t>
      </w:r>
      <w:r>
        <w:rPr>
          <w:rFonts w:eastAsia="Calibri"/>
          <w:lang w:eastAsia="en-US"/>
        </w:rPr>
        <w:br/>
        <w:t>w pomieszczeniu depozytów ubraniowych.</w:t>
      </w:r>
    </w:p>
    <w:p w:rsidR="00622C9B" w:rsidRDefault="00622C9B" w:rsidP="005C3E83">
      <w:pPr>
        <w:pStyle w:val="NormalnyWeb"/>
        <w:spacing w:after="0"/>
      </w:pPr>
      <w:r>
        <w:t>5. Doprowadzający sporządza spis depozytu wartościowego i przekazuje</w:t>
      </w:r>
      <w:r>
        <w:br/>
        <w:t xml:space="preserve">go depozytariuszowi, który po sprawdzeniu zgodności zapisów ze stanem faktycznym – podpisuje kartę; podpis składa również funkcjonariusz doprowadzający. </w:t>
      </w:r>
    </w:p>
    <w:p w:rsidR="00622C9B" w:rsidRDefault="00622C9B" w:rsidP="005C3E83">
      <w:pPr>
        <w:pStyle w:val="NormalnyWeb"/>
        <w:spacing w:after="0"/>
      </w:pPr>
      <w:r>
        <w:t xml:space="preserve">6. Depozytariusz dokonuje oplombowania i imiennego oznakowania worków depozytowych przejmując za ich zawartość pełną odpowiedzialność. Depozyt wartościowy umieszcza </w:t>
      </w:r>
      <w:r>
        <w:br/>
        <w:t xml:space="preserve">w  metalowej zamykanej szafce. </w:t>
      </w:r>
    </w:p>
    <w:p w:rsidR="00622C9B" w:rsidRDefault="00622C9B" w:rsidP="005C3E83">
      <w:pPr>
        <w:pStyle w:val="NormalnyWeb"/>
        <w:spacing w:after="0"/>
      </w:pPr>
      <w:r>
        <w:t xml:space="preserve">7. Przekazanie depozytu rozpoczynającemu zmianę depozytariuszowi odbywa się </w:t>
      </w:r>
      <w:r>
        <w:br/>
        <w:t xml:space="preserve">za pokwitowaniem w raporcie. W przypadku stwierdzenia naruszenia plomb powiadamia się lekarza, który zarządza komisyjne sprawdzenie zawartości naruszonego depozytu; </w:t>
      </w:r>
      <w:r>
        <w:br/>
        <w:t xml:space="preserve">z czynności dokonuje się stosowny wpis w karcie ewidencyjnej oraz raporcie z dyżuru. 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>§ 11.</w:t>
      </w:r>
      <w:r>
        <w:t>1. Czynności związane z przyjmowaniem kobiet do Izby oraz bezpośrednią opiekę nad nimi wykonuje żeński personel Izby, z zastrzeżeniem ust. 2.</w:t>
      </w:r>
    </w:p>
    <w:p w:rsidR="00622C9B" w:rsidRDefault="00622C9B" w:rsidP="005C3E83">
      <w:pPr>
        <w:pStyle w:val="NormalnyWeb"/>
        <w:spacing w:after="0"/>
      </w:pPr>
      <w:r>
        <w:t>2. W przypadku agresywnego zachowania kobiet, lub niepodporządkowania się poleceniom lekarza, przy obsłudze może pomagać personel męski.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 xml:space="preserve">III. </w:t>
      </w:r>
      <w:r>
        <w:rPr>
          <w:b/>
          <w:bCs/>
          <w:iCs/>
        </w:rPr>
        <w:t>Pobyt osób przyjętych w Izbie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>§ 12.</w:t>
      </w:r>
      <w:r>
        <w:t>1. Osoby przyjęte znajdują się pod opieką medyczną lekarza oraz nadzorem opiekunów/porządkowych.</w:t>
      </w:r>
    </w:p>
    <w:p w:rsidR="00622C9B" w:rsidRDefault="00622C9B" w:rsidP="005C3E83">
      <w:pPr>
        <w:pStyle w:val="NormalnyWeb"/>
        <w:spacing w:after="0"/>
      </w:pPr>
      <w:r>
        <w:t>2. Pomieszczenia pobytu osób przyjętych podlegają stałej kontroli wyznaczonych pracowników Izby.</w:t>
      </w:r>
    </w:p>
    <w:p w:rsidR="00622C9B" w:rsidRDefault="00622C9B" w:rsidP="005C3E83">
      <w:pPr>
        <w:pStyle w:val="NormalnyWeb"/>
        <w:spacing w:after="0"/>
      </w:pPr>
      <w:r>
        <w:t>2a. Kontrolę pomieszczenia pobytu osób przyjętych należy odnotować w karcie kontroli sali umieszczonej obok drzwi.</w:t>
      </w:r>
    </w:p>
    <w:p w:rsidR="00622C9B" w:rsidRDefault="00622C9B" w:rsidP="005C3E83">
      <w:pPr>
        <w:pStyle w:val="NormalnyWeb"/>
        <w:spacing w:after="0"/>
      </w:pPr>
      <w:r>
        <w:t>3. Nadzór dokonywany jest także za pomocą monitoringu telewizyjnego.</w:t>
      </w:r>
    </w:p>
    <w:p w:rsidR="00622C9B" w:rsidRDefault="00622C9B" w:rsidP="005C3E83">
      <w:pPr>
        <w:pStyle w:val="NormalnyWeb"/>
        <w:spacing w:after="0"/>
        <w:rPr>
          <w:rFonts w:eastAsia="Calibri"/>
          <w:lang w:eastAsia="en-US"/>
        </w:rPr>
      </w:pPr>
      <w:r>
        <w:rPr>
          <w:b/>
          <w:bCs/>
        </w:rPr>
        <w:t xml:space="preserve">§ 13.1. </w:t>
      </w:r>
      <w:r>
        <w:rPr>
          <w:rFonts w:eastAsia="Calibri"/>
          <w:lang w:eastAsia="en-US"/>
        </w:rPr>
        <w:t>Osobom przyjętym do Izby zapewnia się na czas pobytu odzież zastępczą, jeżeli</w:t>
      </w:r>
      <w:r>
        <w:rPr>
          <w:rFonts w:eastAsia="Calibri"/>
          <w:lang w:eastAsia="en-US"/>
        </w:rPr>
        <w:br/>
        <w:t>ich odzież nie nadaje się do użytku lub jeżeli używanie tej odzieży jest niedopuszczalne</w:t>
      </w:r>
      <w:r>
        <w:rPr>
          <w:rFonts w:eastAsia="Calibri"/>
          <w:lang w:eastAsia="en-US"/>
        </w:rPr>
        <w:br/>
        <w:t>ze względów higienicznych.</w:t>
      </w:r>
    </w:p>
    <w:p w:rsidR="00622C9B" w:rsidRDefault="00622C9B" w:rsidP="005C3E83">
      <w:pPr>
        <w:pStyle w:val="NormalnyWeb"/>
        <w:spacing w:after="0"/>
      </w:pPr>
      <w:r>
        <w:rPr>
          <w:rFonts w:eastAsia="Calibri"/>
          <w:lang w:eastAsia="en-US"/>
        </w:rPr>
        <w:t>2. Odzież zastępczą wydaje się na życzenie osoby przyjętej.</w:t>
      </w:r>
    </w:p>
    <w:p w:rsidR="00622C9B" w:rsidRDefault="00622C9B" w:rsidP="005C3E83">
      <w:pPr>
        <w:pStyle w:val="NormalnyWeb"/>
        <w:spacing w:beforeAutospacing="0" w:after="0"/>
        <w:ind w:left="363" w:hanging="363"/>
      </w:pPr>
      <w:r>
        <w:rPr>
          <w:b/>
          <w:bCs/>
        </w:rPr>
        <w:t>§ 14.</w:t>
      </w:r>
      <w:r>
        <w:t xml:space="preserve">1. O zastosowaniu przymusu bezpośredniego wobec osoby stwarzającej zagrożenia </w:t>
      </w:r>
      <w:r>
        <w:br/>
        <w:t xml:space="preserve">dla życia lub zdrowia własnego lub innej osoby, lub niszczącej przedmioty w otoczeniu (po uprzedzeniu osoby o możliwości jego zastosowania), oraz o zaprzestaniu jego stosowania, decyduje lekarz /felczer i osobiście nadzoruje jego wykonanie. </w:t>
      </w:r>
    </w:p>
    <w:p w:rsidR="00622C9B" w:rsidRDefault="00622C9B" w:rsidP="005C3E83">
      <w:pPr>
        <w:pStyle w:val="NormalnyWeb"/>
        <w:spacing w:beforeAutospacing="0" w:after="0"/>
        <w:ind w:left="363" w:hanging="363"/>
      </w:pPr>
      <w:r>
        <w:lastRenderedPageBreak/>
        <w:t>2</w:t>
      </w:r>
      <w:r>
        <w:rPr>
          <w:b/>
          <w:bCs/>
        </w:rPr>
        <w:t xml:space="preserve">. </w:t>
      </w:r>
      <w:r>
        <w:t>Przymus</w:t>
      </w:r>
      <w:r>
        <w:rPr>
          <w:b/>
          <w:bCs/>
        </w:rPr>
        <w:t xml:space="preserve"> </w:t>
      </w:r>
      <w:r>
        <w:t>w formie:</w:t>
      </w:r>
    </w:p>
    <w:p w:rsidR="00622C9B" w:rsidRDefault="00622C9B" w:rsidP="005C3E83">
      <w:pPr>
        <w:pStyle w:val="NormalnyWeb"/>
        <w:spacing w:beforeAutospacing="0" w:after="0"/>
        <w:ind w:left="363" w:hanging="363"/>
      </w:pPr>
      <w:r>
        <w:t xml:space="preserve">a) przytrzymania – polega na doraźnym, krótkotrwałym unieruchomieniu osoby z użyciem siły fizycznej, </w:t>
      </w:r>
    </w:p>
    <w:p w:rsidR="00622C9B" w:rsidRDefault="00622C9B" w:rsidP="005C3E83">
      <w:pPr>
        <w:pStyle w:val="NormalnyWeb"/>
        <w:spacing w:beforeAutospacing="0" w:after="0"/>
        <w:ind w:left="363" w:hanging="363"/>
      </w:pPr>
      <w:r>
        <w:t xml:space="preserve">b) unieruchomienia – polega na dłużej trwającym obezwładnieniu z użyciem pasów, </w:t>
      </w:r>
    </w:p>
    <w:p w:rsidR="00622C9B" w:rsidRDefault="00622C9B" w:rsidP="005C3E83">
      <w:pPr>
        <w:pStyle w:val="NormalnyWeb"/>
        <w:spacing w:beforeAutospacing="0" w:after="0"/>
        <w:ind w:left="363" w:hanging="363"/>
      </w:pPr>
      <w:r>
        <w:t xml:space="preserve">c) przymusowego podania produktu leczniczego – polega na doraźnym lub przewidzianym </w:t>
      </w:r>
      <w:r>
        <w:br/>
        <w:t>w planie postępowania leczniczego wprowadzeniu produktu leczniczego do organizmu osoby.</w:t>
      </w:r>
    </w:p>
    <w:p w:rsidR="00622C9B" w:rsidRDefault="00622C9B" w:rsidP="005C3E83">
      <w:pPr>
        <w:pStyle w:val="NormalnyWeb"/>
        <w:spacing w:after="0"/>
      </w:pPr>
      <w:r>
        <w:t xml:space="preserve">3. Lekarz decyduje o zastosowaniu unieruchomienia na czas nie dłuższy niż 4 godziny. </w:t>
      </w:r>
      <w:r>
        <w:br/>
        <w:t xml:space="preserve">W razie potrzeby lekarz może je przedłużyć na następne okresy, maksymalnie 6-godzinne; jego łączne stosowanie nie może przekraczać doby. Stan zdrowia oraz sposób unieruchomienia (czy nie jest za luźny lub zbyt ścisły) osoby opiekun/porządkowa kontroluje nie rzadziej niż co 15 minut, nawet w czasie snu. </w:t>
      </w:r>
    </w:p>
    <w:p w:rsidR="00622C9B" w:rsidRDefault="00622C9B" w:rsidP="005C3E83">
      <w:pPr>
        <w:pStyle w:val="NormalnyWeb"/>
        <w:spacing w:after="0"/>
      </w:pPr>
      <w:r>
        <w:t xml:space="preserve">4. Osoba unieruchomiona poddawana jest monitorowaniu telewizyjnemu wraz z zapisem obrazu na okres od 30 do 60 dni, po czym następuje jego usunięcie w sposób uniemożliwiający jego odzyskanie. </w:t>
      </w:r>
    </w:p>
    <w:p w:rsidR="00622C9B" w:rsidRDefault="00622C9B" w:rsidP="005C3E83">
      <w:pPr>
        <w:pStyle w:val="NormalnyWeb"/>
        <w:spacing w:after="0"/>
      </w:pPr>
      <w:r>
        <w:t>5. Nadzór nad systemem telewizji przemysłowej powierza się kierownikowi działu medycznego/lekarzowi; klucze od pomieszczenia monitoringu posiadają kierownik działu medycznego i opiekunowie zmianowi.</w:t>
      </w:r>
    </w:p>
    <w:p w:rsidR="00622C9B" w:rsidRDefault="00622C9B" w:rsidP="005C3E83">
      <w:pPr>
        <w:pStyle w:val="NormalnyWeb"/>
        <w:spacing w:after="0"/>
      </w:pPr>
      <w:r>
        <w:t xml:space="preserve">6. Dane utrwalone za pomocą urządzeń monitorujących są przetwarzane tj. przeglądane, nagrywane na nośniki i udostępniane odpowiednim organom wyłącznie przez osoby posiadające pisemne upoważnienie wydane przez Dyrektora Izby. </w:t>
      </w:r>
    </w:p>
    <w:p w:rsidR="00622C9B" w:rsidRDefault="00622C9B" w:rsidP="005C3E83">
      <w:pPr>
        <w:pStyle w:val="NormalnyWeb"/>
        <w:spacing w:after="0"/>
      </w:pPr>
      <w:r>
        <w:t>7. Drzwi do pomieszczenia monitoringu w czasie jego niewykorzystywania winny być zamknięte.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>§ 15</w:t>
      </w:r>
      <w:r>
        <w:t xml:space="preserve">. W razie bezpośredniego i nagłego zagrożenia życia lub zdrowia pracownika, lub innej osoby, zastosowanie przymusu fizycznego w formie przytrzymania może podjąć pracownik, </w:t>
      </w:r>
      <w:r>
        <w:br/>
        <w:t>z koniecznością natychmiastowego przywołania lekarza.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>§ 16.</w:t>
      </w:r>
      <w:r>
        <w:t>1. Osoby przyjęte nie otrzymują wyżywienia, jedynie napoje – kawę lub wodę mineralną w jednorazowych kubkach.</w:t>
      </w:r>
    </w:p>
    <w:p w:rsidR="00622C9B" w:rsidRDefault="00622C9B" w:rsidP="005C3E83">
      <w:pPr>
        <w:pStyle w:val="NormalnyWeb"/>
        <w:spacing w:after="0"/>
      </w:pPr>
      <w:r>
        <w:t>2. Osobom przyjętym nie wolno przyjmować odwiedzin ani przesyłek, a także palić tytoniu.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>§ 17.</w:t>
      </w:r>
      <w:r>
        <w:t xml:space="preserve"> W przypadku zgonu osoby przebywającej w Izbie, stwierdzonego przez lekarza, niezwłocznie powiadamia się oficera dyżurnego Komendy Miejskiej Policji, prokuratora rejonowego i Dyrektora Izby.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 xml:space="preserve">IV. </w:t>
      </w:r>
      <w:r>
        <w:rPr>
          <w:b/>
          <w:bCs/>
          <w:iCs/>
        </w:rPr>
        <w:t>Zwalnianie lub przekazywanie osób przyjętych do Izby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>§ 18</w:t>
      </w:r>
      <w:r>
        <w:t>.1. Osoby przyjęte przebywają w Izbie do wytrzeźwienia.</w:t>
      </w:r>
    </w:p>
    <w:p w:rsidR="00622C9B" w:rsidRDefault="00622C9B" w:rsidP="005C3E83">
      <w:pPr>
        <w:pStyle w:val="NormalnyWeb"/>
        <w:spacing w:after="0"/>
      </w:pPr>
      <w:r>
        <w:t xml:space="preserve">2. Decyzję o zwolnieniu osoby z Izby lub przekazaniu Policji podejmuje lekarz dyżurny </w:t>
      </w:r>
      <w:r>
        <w:br/>
        <w:t>na podstawie badania alkomatem (wydruk dołącza się do karty ewidencyjnej), po wyrażeniu na nie zgody, a w przypadku jej braku na podstawie opinii lekarskiej.</w:t>
      </w:r>
    </w:p>
    <w:p w:rsidR="00622C9B" w:rsidRDefault="00622C9B" w:rsidP="005C3E83">
      <w:pPr>
        <w:pStyle w:val="NormalnyWeb"/>
        <w:spacing w:after="0"/>
      </w:pPr>
      <w:r>
        <w:lastRenderedPageBreak/>
        <w:t>3. Zwalnianie osób powinno w miarę możliwości odbywać się rano, w godzinach pozwalających na przystąpienie przez nie do pracy, a w godzinach wieczornych – w porze umożliwiającej sprawny powrót do domu.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>§ 19.</w:t>
      </w:r>
      <w:r>
        <w:t xml:space="preserve"> 1. Depozyt ubraniowy i wartościowy zwraca się osobie za pokwitowaniem odbioru.</w:t>
      </w:r>
    </w:p>
    <w:p w:rsidR="00622C9B" w:rsidRDefault="00622C9B" w:rsidP="005C3E83">
      <w:pPr>
        <w:pStyle w:val="NormalnyWeb"/>
        <w:spacing w:after="0"/>
      </w:pPr>
      <w:r>
        <w:t xml:space="preserve">2. Przed oddaniem depozytu depozytariusz informuje osobę zwalnianą: </w:t>
      </w:r>
    </w:p>
    <w:p w:rsidR="00622C9B" w:rsidRDefault="00622C9B" w:rsidP="005C3E83">
      <w:pPr>
        <w:pStyle w:val="NormalnyWeb"/>
        <w:spacing w:after="0"/>
      </w:pPr>
      <w:r>
        <w:t>a) o treści zapisów dotyczących depozytów wartościowych i ubraniowych;</w:t>
      </w:r>
    </w:p>
    <w:p w:rsidR="00622C9B" w:rsidRDefault="00622C9B" w:rsidP="005C3E83">
      <w:pPr>
        <w:pStyle w:val="NormalnyWeb"/>
        <w:spacing w:after="0"/>
      </w:pPr>
      <w:r>
        <w:t>b) w ramach pouczenia – o przysługującym zażaleniu do sądu rejonowego.</w:t>
      </w:r>
    </w:p>
    <w:p w:rsidR="00622C9B" w:rsidRDefault="00622C9B" w:rsidP="005C3E83">
      <w:pPr>
        <w:pStyle w:val="NormalnyWeb"/>
        <w:spacing w:beforeAutospacing="0" w:after="0"/>
        <w:ind w:left="567" w:hanging="567"/>
      </w:pPr>
      <w:r>
        <w:t xml:space="preserve">3. Zwolnienie osoby z Izby odbywa się w obecności opiekuna zmiany/porządkowej, </w:t>
      </w:r>
      <w:r>
        <w:br/>
        <w:t>co potwierdzane jest podpisem w karcie depozytowej.</w:t>
      </w:r>
    </w:p>
    <w:p w:rsidR="00622C9B" w:rsidRDefault="00622C9B" w:rsidP="005C3E83">
      <w:pPr>
        <w:pStyle w:val="NormalnyWeb"/>
        <w:spacing w:beforeAutospacing="0" w:after="0"/>
        <w:ind w:left="567" w:hanging="567"/>
      </w:pPr>
      <w:r>
        <w:t xml:space="preserve">4. W przypadku odmowy pokwitowania, bądź braku możliwości np. osoba nieprzytomna przekazywana do szpitala, depozytariusz wydaje depozyt w obecności opiekuna/porządkowej. Fakt oddania depozytu potwierdzają depozytariusz </w:t>
      </w:r>
      <w:r>
        <w:br/>
        <w:t>i opiekun/porządkowa, odnotowując przyczynę odmowy podpisu w karcie depozytowej.</w:t>
      </w:r>
    </w:p>
    <w:p w:rsidR="00622C9B" w:rsidRDefault="00622C9B" w:rsidP="005C3E83">
      <w:pPr>
        <w:pStyle w:val="NormalnyWeb"/>
        <w:spacing w:beforeAutospacing="0" w:after="0"/>
        <w:ind w:left="567" w:hanging="567"/>
      </w:pPr>
      <w:r>
        <w:t xml:space="preserve">5. Lekarz przy zwalnianiu pacjenta przeprowadza, w miarę możliwości, rozmowę </w:t>
      </w:r>
      <w:r>
        <w:br/>
        <w:t>o szkodliwości spożywania alkoholu oraz nakłania osoby uzależnione do poddania się leczeniu odwykowemu; fakt odnotowuje w karcie ewidencyjnej.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>§ 20.</w:t>
      </w:r>
      <w:r>
        <w:t xml:space="preserve"> Naprawa uszkodzonych urządzeń i pomieszczeń Izby jest dokonywana na koszt sprawcy uszkodzeń, a wartość szkody jest doliczana do rachunku za pobyt w Izbie.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>§ 21.</w:t>
      </w:r>
      <w:r>
        <w:t xml:space="preserve">1. Po wytrzeźwieniu osoby przebywające w Izbie, które dopuściły się przestępstwa </w:t>
      </w:r>
      <w:r>
        <w:br/>
        <w:t>lub których przejęcie zastrzegły sobie organa, przekazuje się tym organom.</w:t>
      </w:r>
    </w:p>
    <w:p w:rsidR="00622C9B" w:rsidRDefault="00622C9B" w:rsidP="005C3E83">
      <w:pPr>
        <w:pStyle w:val="NormalnyWeb"/>
        <w:spacing w:after="0"/>
      </w:pPr>
      <w:r>
        <w:t xml:space="preserve">2. Jeżeli czynności związane z ustaleniem personaliów pacjentów nie zostały ukończone </w:t>
      </w:r>
      <w:r>
        <w:br/>
        <w:t xml:space="preserve">w okresie ich pobytu w Izbie, osoby te przekazuje się organom w celu ustalenia danych personalnych. 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 xml:space="preserve">§ 22. </w:t>
      </w:r>
      <w:r>
        <w:t>Osoby niepełnoletnie po wytrzeźwieniu przekazuje się rodzicom lub prawnym opiekunom, a w razie ich braku pogotowiu opiekuńczemu.</w:t>
      </w:r>
    </w:p>
    <w:p w:rsidR="00622C9B" w:rsidRDefault="00622C9B" w:rsidP="005C3E83">
      <w:pPr>
        <w:pStyle w:val="NormalnyWeb"/>
        <w:spacing w:after="0"/>
        <w:rPr>
          <w:b/>
        </w:rPr>
      </w:pPr>
      <w:r>
        <w:rPr>
          <w:b/>
          <w:bCs/>
          <w:iCs/>
        </w:rPr>
        <w:t xml:space="preserve">V Postanowienia ogólne 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>§ 23.</w:t>
      </w:r>
      <w:r>
        <w:t xml:space="preserve"> Personel Izby, z wyjątkiem lekarzy, podlega corocznie szkoleniu z udzielania I pomocy, stosowania środków przymusu bezpośredniego oraz profilaktyki rozwiązywania problemów alkoholowych. 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 xml:space="preserve">§ 24. </w:t>
      </w:r>
      <w:r>
        <w:t xml:space="preserve">Przepisy niniejszego regulaminu winny być bezwzględnie przestrzegane </w:t>
      </w:r>
      <w:r>
        <w:br/>
        <w:t>przez pracowników Izby.</w:t>
      </w:r>
    </w:p>
    <w:p w:rsidR="00622C9B" w:rsidRDefault="00622C9B" w:rsidP="005C3E83">
      <w:pPr>
        <w:pStyle w:val="NormalnyWeb"/>
        <w:spacing w:after="0"/>
      </w:pPr>
      <w:r>
        <w:rPr>
          <w:b/>
          <w:bCs/>
        </w:rPr>
        <w:t>§ 25</w:t>
      </w:r>
      <w:r>
        <w:t>. Regulamin obowiązuje od dnia 07 sierpnia 2019 roku.</w:t>
      </w:r>
    </w:p>
    <w:p w:rsidR="005C3E83" w:rsidRDefault="005C3E83" w:rsidP="005C3E83">
      <w:pPr>
        <w:pStyle w:val="NormalnyWeb"/>
        <w:spacing w:after="0"/>
      </w:pPr>
    </w:p>
    <w:p w:rsidR="00622C9B" w:rsidRDefault="00622C9B" w:rsidP="005C3E83">
      <w:pPr>
        <w:pStyle w:val="NormalnyWeb"/>
        <w:spacing w:after="0"/>
      </w:pPr>
      <w:r>
        <w:t>Dyrektor Edward Ciesnowski</w:t>
      </w:r>
      <w:bookmarkStart w:id="0" w:name="_GoBack"/>
      <w:bookmarkEnd w:id="0"/>
    </w:p>
    <w:p w:rsidR="00E0339D" w:rsidRDefault="000E6493" w:rsidP="005C3E83"/>
    <w:sectPr w:rsidR="00E0339D" w:rsidSect="007A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12961"/>
    <w:multiLevelType w:val="hybridMultilevel"/>
    <w:tmpl w:val="62748A5A"/>
    <w:lvl w:ilvl="0" w:tplc="08F03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AE4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AF1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FE4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6AC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18F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04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4C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7820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960AE2"/>
    <w:multiLevelType w:val="hybridMultilevel"/>
    <w:tmpl w:val="488C9584"/>
    <w:lvl w:ilvl="0" w:tplc="6FB8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CA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FA3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E4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4BD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38FC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8E50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0DB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A8F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9B"/>
    <w:rsid w:val="000E6493"/>
    <w:rsid w:val="00540F60"/>
    <w:rsid w:val="005C3E83"/>
    <w:rsid w:val="00622C9B"/>
    <w:rsid w:val="006421C6"/>
    <w:rsid w:val="00743D58"/>
    <w:rsid w:val="007A35E9"/>
    <w:rsid w:val="00C9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2C9C"/>
  <w15:docId w15:val="{A3914E02-55A1-41E7-B007-83B678BA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22C9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Użytkownik systemu Windows</cp:lastModifiedBy>
  <cp:revision>2</cp:revision>
  <dcterms:created xsi:type="dcterms:W3CDTF">2021-05-28T06:28:00Z</dcterms:created>
  <dcterms:modified xsi:type="dcterms:W3CDTF">2021-05-28T06:28:00Z</dcterms:modified>
</cp:coreProperties>
</file>